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Plan</w:t>
      </w:r>
    </w:p>
    <w:p>
      <w:pPr>
        <w:pStyle w:val="Subtitle"/>
      </w:pPr>
      <w:r>
        <w:t xml:space="preserve">A-Mab Drug Substance — Protein A Chromatography (Step 5) — PCP-005</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PCP-005</w:t>
            </w:r>
          </w:p>
        </w:tc>
      </w:tr>
      <w:tr>
        <w:tc>
          <w:tcPr/>
          <w:p>
            <w:pPr>
              <w:pStyle w:val="Compact"/>
              <w:jc w:val="left"/>
            </w:pPr>
            <w:r>
              <w:t xml:space="preserve">Document class</w:t>
            </w:r>
          </w:p>
        </w:tc>
        <w:tc>
          <w:tcPr/>
          <w:p>
            <w:pPr>
              <w:pStyle w:val="Compact"/>
              <w:jc w:val="left"/>
            </w:pPr>
            <w:r>
              <w:t xml:space="preserve">Process Characterization Plan</w:t>
            </w:r>
          </w:p>
        </w:tc>
      </w:tr>
      <w:tr>
        <w:tc>
          <w:tcPr/>
          <w:p>
            <w:pPr>
              <w:pStyle w:val="Compact"/>
              <w:jc w:val="left"/>
            </w:pPr>
            <w:r>
              <w:t xml:space="preserve">Title</w:t>
            </w:r>
          </w:p>
        </w:tc>
        <w:tc>
          <w:tcPr/>
          <w:p>
            <w:pPr>
              <w:pStyle w:val="Compact"/>
              <w:jc w:val="left"/>
            </w:pPr>
            <w:r>
              <w:t xml:space="preserve">Process Characterization Plan: Protein A Chromatography (Step 5)</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PCP-005 Version 1.0 (2025-11-03)</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Function</w:t>
            </w:r>
          </w:p>
        </w:tc>
        <w:tc>
          <w:tcPr/>
          <w:p>
            <w:pPr>
              <w:pStyle w:val="Compact"/>
            </w:pPr>
            <w:r>
              <w:t xml:space="preserve">Name (synthetic)</w:t>
            </w:r>
          </w:p>
        </w:tc>
        <w:tc>
          <w:tcPr/>
          <w:p>
            <w:pPr>
              <w:pStyle w:val="Compact"/>
            </w:pPr>
            <w:r>
              <w:t xml:space="preserve">Signature</w:t>
            </w:r>
          </w:p>
        </w:tc>
        <w:tc>
          <w:tcPr/>
          <w:p>
            <w:pPr>
              <w:pStyle w:val="Compact"/>
            </w:pPr>
            <w:r>
              <w:t xml:space="preserve">Date</w:t>
            </w:r>
          </w:p>
        </w:tc>
      </w:tr>
      <w:tr>
        <w:tc>
          <w:tcPr/>
          <w:p>
            <w:pPr>
              <w:pStyle w:val="Compact"/>
            </w:pPr>
            <w:r>
              <w:t xml:space="preserve">Author</w:t>
            </w:r>
          </w:p>
        </w:tc>
        <w:tc>
          <w:tcPr/>
          <w:p>
            <w:pPr>
              <w:pStyle w:val="Compact"/>
            </w:pPr>
            <w:r>
              <w:t xml:space="preserve">Process Development / MSAT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Analytical Development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Manufacturing Science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Reviewer</w:t>
            </w:r>
          </w:p>
        </w:tc>
        <w:tc>
          <w:tcPr/>
          <w:p>
            <w:pPr>
              <w:pStyle w:val="Compact"/>
            </w:pPr>
            <w:r>
              <w:t xml:space="preserve">Statistics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Approver</w:t>
            </w:r>
          </w:p>
        </w:tc>
        <w:tc>
          <w:tcPr/>
          <w:p>
            <w:pPr>
              <w:pStyle w:val="Compact"/>
            </w:pPr>
            <w:r>
              <w:t xml:space="preserve">Quality Assurance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2025-11-03</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and INV-002: a priori intermediate acceptance criteria,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ALCOA+</w:t>
            </w:r>
          </w:p>
        </w:tc>
        <w:tc>
          <w:tcPr/>
          <w:p>
            <w:pPr>
              <w:pStyle w:val="Compact"/>
              <w:jc w:val="left"/>
            </w:pPr>
            <w:r>
              <w:t xml:space="preserve">attributable, legible, contemporaneous, original and accurate, plus complete, consistent, enduring and available</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BLA</w:t>
            </w:r>
          </w:p>
        </w:tc>
        <w:tc>
          <w:tcPr/>
          <w:p>
            <w:pPr>
              <w:pStyle w:val="Compact"/>
              <w:jc w:val="left"/>
            </w:pPr>
            <w:r>
              <w:t xml:space="preserve">Biologics License Application</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CV</w:t>
            </w:r>
          </w:p>
        </w:tc>
        <w:tc>
          <w:tcPr/>
          <w:p>
            <w:pPr>
              <w:pStyle w:val="Compact"/>
              <w:jc w:val="left"/>
            </w:pPr>
            <w:r>
              <w:t xml:space="preserve">column volume</w:t>
            </w:r>
          </w:p>
        </w:tc>
      </w:tr>
      <w:tr>
        <w:tc>
          <w:tcPr/>
          <w:p>
            <w:pPr>
              <w:pStyle w:val="Compact"/>
              <w:jc w:val="left"/>
            </w:pPr>
            <w:r>
              <w:t xml:space="preserve">DNA</w:t>
            </w:r>
          </w:p>
        </w:tc>
        <w:tc>
          <w:tcPr/>
          <w:p>
            <w:pPr>
              <w:pStyle w:val="Compact"/>
              <w:jc w:val="left"/>
            </w:pPr>
            <w:r>
              <w:t xml:space="preserve">deoxyribonucleic acid</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ELISA</w:t>
            </w:r>
          </w:p>
        </w:tc>
        <w:tc>
          <w:tcPr/>
          <w:p>
            <w:pPr>
              <w:pStyle w:val="Compact"/>
              <w:jc w:val="left"/>
            </w:pPr>
            <w:r>
              <w:t xml:space="preserve">enzyme-linked immunosorbent assay</w:t>
            </w:r>
          </w:p>
        </w:tc>
      </w:tr>
      <w:tr>
        <w:tc>
          <w:tcPr/>
          <w:p>
            <w:pPr>
              <w:pStyle w:val="Compact"/>
              <w:jc w:val="left"/>
            </w:pPr>
            <w:r>
              <w:t xml:space="preserve">Fab</w:t>
            </w:r>
          </w:p>
        </w:tc>
        <w:tc>
          <w:tcPr/>
          <w:p>
            <w:pPr>
              <w:pStyle w:val="Compact"/>
              <w:jc w:val="left"/>
            </w:pPr>
            <w:r>
              <w:t xml:space="preserve">antigen-binding fragment</w:t>
            </w:r>
          </w:p>
        </w:tc>
      </w:tr>
      <w:tr>
        <w:tc>
          <w:tcPr/>
          <w:p>
            <w:pPr>
              <w:pStyle w:val="Compact"/>
              <w:jc w:val="left"/>
            </w:pPr>
            <w:r>
              <w:t xml:space="preserve">Fc</w:t>
            </w:r>
          </w:p>
        </w:tc>
        <w:tc>
          <w:tcPr/>
          <w:p>
            <w:pPr>
              <w:pStyle w:val="Compact"/>
              <w:jc w:val="left"/>
            </w:pPr>
            <w:r>
              <w:t xml:space="preserve">crystallizable fragment</w:t>
            </w:r>
          </w:p>
        </w:tc>
      </w:tr>
      <w:tr>
        <w:tc>
          <w:tcPr/>
          <w:p>
            <w:pPr>
              <w:pStyle w:val="Compact"/>
              <w:jc w:val="left"/>
            </w:pPr>
            <w:r>
              <w:t xml:space="preserve">HCP</w:t>
            </w:r>
          </w:p>
        </w:tc>
        <w:tc>
          <w:tcPr/>
          <w:p>
            <w:pPr>
              <w:pStyle w:val="Compact"/>
              <w:jc w:val="left"/>
            </w:pPr>
            <w:r>
              <w:t xml:space="preserve">host cell protein</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qPCR</w:t>
            </w:r>
          </w:p>
        </w:tc>
        <w:tc>
          <w:tcPr/>
          <w:p>
            <w:pPr>
              <w:pStyle w:val="Compact"/>
              <w:jc w:val="left"/>
            </w:pPr>
            <w:r>
              <w:t xml:space="preserve">quantitative polymerase chain reaction</w:t>
            </w:r>
          </w:p>
        </w:tc>
      </w:tr>
      <w:tr>
        <w:tc>
          <w:tcPr/>
          <w:p>
            <w:pPr>
              <w:pStyle w:val="Compact"/>
              <w:jc w:val="left"/>
            </w:pPr>
            <w:r>
              <w:t xml:space="preserve">RSM</w:t>
            </w:r>
          </w:p>
        </w:tc>
        <w:tc>
          <w:tcPr/>
          <w:p>
            <w:pPr>
              <w:pStyle w:val="Compact"/>
              <w:jc w:val="left"/>
            </w:pPr>
            <w:r>
              <w:t xml:space="preserve">response surface methodology</w:t>
            </w:r>
          </w:p>
        </w:tc>
      </w:tr>
      <w:tr>
        <w:tc>
          <w:tcPr/>
          <w:p>
            <w:pPr>
              <w:pStyle w:val="Compact"/>
              <w:jc w:val="left"/>
            </w:pPr>
            <w:r>
              <w:t xml:space="preserve">SEC</w:t>
            </w:r>
          </w:p>
        </w:tc>
        <w:tc>
          <w:tcPr/>
          <w:p>
            <w:pPr>
              <w:pStyle w:val="Compact"/>
              <w:jc w:val="left"/>
            </w:pPr>
            <w:r>
              <w:t xml:space="preserve">size exclusion chromatography</w:t>
            </w:r>
          </w:p>
        </w:tc>
      </w:tr>
      <w:tr>
        <w:tc>
          <w:tcPr/>
          <w:p>
            <w:pPr>
              <w:pStyle w:val="Compact"/>
              <w:jc w:val="left"/>
            </w:pPr>
            <w:r>
              <w:t xml:space="preserve">SOP</w:t>
            </w:r>
          </w:p>
        </w:tc>
        <w:tc>
          <w:tcPr/>
          <w:p>
            <w:pPr>
              <w:pStyle w:val="Compact"/>
              <w:jc w:val="left"/>
            </w:pPr>
            <w:r>
              <w:t xml:space="preserve">standard operating procedure</w:t>
            </w:r>
          </w:p>
        </w:tc>
      </w:tr>
    </w:tbl>
    <w:p>
      <w:r>
        <w:br w:type="page"/>
      </w:r>
    </w:p>
    <w:bookmarkEnd w:id="22"/>
    <w:bookmarkStart w:id="25" w:name="sec-purpose"/>
    <w:p>
      <w:pPr>
        <w:pStyle w:val="Heading1"/>
      </w:pPr>
      <w:r>
        <w:t xml:space="preserve">1. Purpose and scope</w:t>
      </w:r>
    </w:p>
    <w:p>
      <w:pPr>
        <w:pStyle w:val="FirstParagraph"/>
      </w:pPr>
      <w:r>
        <w:t xml:space="preserve">This plan is the protocol for the process characterization of the Protein A chromatography step (Step 5) of the A-Mab drug substance process. It applies the Process Characterization Master Plan PCMP-001 to this step. It adds what is specific to the step, such as the scale-down model, the factors and their ranges, the sampling plan and the values of the acceptance criteria. Where this plan says nothing of its own, PCMP-001 applies.</w:t>
      </w:r>
    </w:p>
    <w:p>
      <w:pPr>
        <w:pStyle w:val="BodyText"/>
      </w:pPr>
      <w:r>
        <w:t xml:space="preserve">Protein A chromatography is the capture step of the A-Mab purification train. The resin binds the antibody from the clarified harvest, and most of the host cell protein and DNA leave the column in the flow-through and the wash. The antibody is then eluted at low pH and passed to low-pH viral inactivation (Step 6) without neutralization. The step adds one impurity of its own, which is Protein A ligand that leaches from the resin.</w:t>
      </w:r>
    </w:p>
    <w:p>
      <w:pPr>
        <w:pStyle w:val="BodyText"/>
      </w:pPr>
      <w:r>
        <w:t xml:space="preserve">The characterization covers all 6 process parameters of the step. Of these, 4 are studied in a screening design followed by a response-surface design, and 2 are studied one factor at a time. All studies are run in a scale-down model of the commercial column. For pool host cell protein and leached Protein A, which the qualification of the model compares at both scales, each result is translated to manufacturing scale before it is judged against a criterion (</w:t>
      </w:r>
      <w:hyperlink w:anchor="sec-sdm">
        <w:r>
          <w:rPr>
            <w:rStyle w:val="Hyperlink"/>
          </w:rPr>
          <w:t xml:space="preserve">Section 5.1</w:t>
        </w:r>
      </w:hyperlink>
      <w:r>
        <w:t xml:space="preserve">). The commercial process is run at the 15,000 L scale at the receiving site in Grafton, WI, which is the scale this characterization supports under the Process Transfer Plan PTP-001.</w:t>
      </w:r>
    </w:p>
    <w:p>
      <w:pPr>
        <w:pStyle w:val="BodyText"/>
      </w:pPr>
      <w:r>
        <w:t xml:space="preserve">PCR-005, the Process Characterization Report for this step, will report the results. It will give the proven acceptable ranges (PARs) of the multivariate parameters for each attribute of the Protein A pool with a criterion, and the data for the classification of every parameter of the step. Although Protein A chromatography removes some virus, no viral clearance claim is made for this step</w:t>
      </w:r>
      <w:r>
        <w:t xml:space="preserve"> </w:t>
      </w:r>
      <w:r>
        <w:t xml:space="preserve">(CMC Biotech Working Group 2009)</w:t>
      </w:r>
      <w:r>
        <w:t xml:space="preserve">. The viral clearance claim of the process rests on low-pH inactivation, anion exchange and virus filtration (PCMP-001, viral clearance claims), and no spiking study is planned here. The life cycle of the resin (its re-use limit, cleaning and sanitization) is governed by the resin life-cycle procedure SOP-2008 and is outside the scope of this plan.</w:t>
      </w:r>
    </w:p>
    <w:bookmarkStart w:id="24" w:name="sec-changes"/>
    <w:p>
      <w:pPr>
        <w:pStyle w:val="Heading2"/>
      </w:pPr>
      <w:r>
        <w:t xml:space="preserve">1.1 Changes in this revision</w:t>
      </w:r>
    </w:p>
    <w:p>
      <w:pPr>
        <w:pStyle w:val="FirstParagraph"/>
      </w:pPr>
      <w:r>
        <w:t xml:space="preserve">Version 1.0 of this plan was approved on 2025-11-03, before the first study of the step began on 2025-11-05. The studies that this plan governs were executed between 2025-11-05 and 2026-04-17. This Version 2.0 is a protocol amendment issued after that execution, under the investigation INV-001. QA opened the investigation on 2026-08-03 after its review of PCMR-001 Version 1.0 for BLA readiness, and closed it on 2026-09-18 with the classification major.</w:t>
      </w:r>
    </w:p>
    <w:p>
      <w:pPr>
        <w:pStyle w:val="BodyText"/>
      </w:pPr>
      <w:r>
        <w:t xml:space="preserve">The investigation found that the criteria used to judge each step in the PAR analysis were not in any approved protocol and had been set after the data were seen (INV-001 finding 1). In this plan, a Version 1.0 analysis limit is a limit that a Version 1.0 report applied when its data were analysed, although no approved protocol stated it. An approved plan criterion is a criterion that an approved version of this plan stated before the studies were run. A Version 2.0 criterion is the drug substance criterion carried back through the platform worst case of each downstream step, and then checked against the A-Mab results of those steps, as PCMP-001 sets out for intermediate acceptance criteria.</w:t>
      </w:r>
    </w:p>
    <w:p>
      <w:pPr>
        <w:pStyle w:val="BodyText"/>
      </w:pPr>
      <w:r>
        <w:t xml:space="preserve">For this step, Version 1.0 of this plan contained no approved plan criterion. Version 1.0 of PCR-005 applied one analysis limit of its own, 10,724 ng/mg for pool host cell protein. That limit was the drug substance criterion carried back through the nominal downstream clearance of this campaign and then divided by a safety factor of 4.5. The factor was chosen, not calculated from how the downstream steps perform (INV-001 finding 2). The limit was written into the text of this plan when the package was compiled, and it was not approved with the plan (INV-001 finding 1). Version 1.0 of PCR-005 judged leached Protein A against the drug substance criterion, and it did not report fragments.</w:t>
      </w:r>
      <w:r>
        <w:t xml:space="preserve"> </w:t>
      </w:r>
      <w:hyperlink w:anchor="tbl-criteria-change">
        <w:r>
          <w:rPr>
            <w:rStyle w:val="Hyperlink"/>
          </w:rPr>
          <w:t xml:space="preserve">Table 1</w:t>
        </w:r>
      </w:hyperlink>
      <w:r>
        <w:t xml:space="preserve"> </w:t>
      </w:r>
      <w:r>
        <w:t xml:space="preserve">sets the Version 1.0 limits beside the Version 2.0 criteria.</w:t>
      </w:r>
    </w:p>
    <w:tbl>
      <w:tblPr>
        <w:tblStyle w:val="Table"/>
        <w:tblW w:type="pct" w:w="5000"/>
        <w:tblLayout w:type="fixed"/>
        <w:tblLook w:firstRow="0" w:lastRow="0" w:firstColumn="0" w:lastColumn="0" w:noHBand="0" w:noVBand="0" w:val="0000"/>
      </w:tblPr>
      <w:tblGrid>
        <w:gridCol w:w="7920"/>
      </w:tblGrid>
      <w:tr>
        <w:tc>
          <w:tcPr/>
          <w:bookmarkStart w:id="23" w:name="tbl-criteria-change"/>
          <w:p>
            <w:pPr>
              <w:jc w:val="center"/>
            </w:pPr>
            <w:pPr>
              <w:jc w:val="start"/>
              <w:spacing w:before="200"/>
              <w:pStyle w:val="ImageCaption"/>
            </w:pPr>
            <w:r>
              <w:t xml:space="preserve">Table 1: Acceptance criteria for the step outputs in Version 1.0 and Version 2.0, Protein A.</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Attribute</w:t>
                  </w:r>
                </w:p>
              </w:tc>
              <w:tc>
                <w:tcPr>
                  <w:gridSpan w:val="2"/>
                </w:tcPr>
                <w:p>
                  <w:pPr>
                    <w:pStyle w:val="Compact"/>
                    <w:jc w:val="center"/>
                  </w:pPr>
                  <w:r>
                    <w:t xml:space="preserve">Version 1.0</w:t>
                  </w:r>
                  <w:r>
                    <w:rPr>
                      <w:vertAlign w:val="superscript"/>
                    </w:rPr>
                    <w:t xml:space="preserve">a)</w:t>
                  </w:r>
                </w:p>
              </w:tc>
              <w:tc>
                <w:tcPr>
                  <w:gridSpan w:val="2"/>
                </w:tcPr>
                <w:p>
                  <w:pPr>
                    <w:pStyle w:val="Compact"/>
                    <w:jc w:val="center"/>
                  </w:pPr>
                  <w:r>
                    <w:t xml:space="preserve">Version 2.0</w:t>
                  </w:r>
                </w:p>
              </w:tc>
            </w:tr>
            <w:tr>
              <w:trPr>
                <w:tblHeader w:val="on"/>
              </w:trPr>
              <w:tc>
                <w:tcPr>
                  <w:gridSpan w:val="1"/>
                  <w:vMerge w:val="continue"/>
                </w:tcPr>
                <w:p>
                  <w:pPr/>
                </w:p>
              </w:tc>
              <w:tc>
                <w:tcPr/>
                <w:p>
                  <w:pPr>
                    <w:pStyle w:val="Compact"/>
                    <w:jc w:val="center"/>
                  </w:pPr>
                  <w:r>
                    <w:t xml:space="preserve">Criterion</w:t>
                  </w:r>
                </w:p>
              </w:tc>
              <w:tc>
                <w:tcPr/>
                <w:p>
                  <w:pPr>
                    <w:pStyle w:val="Compact"/>
                    <w:jc w:val="center"/>
                  </w:pPr>
                  <w:r>
                    <w:t xml:space="preserve">Rule</w:t>
                  </w:r>
                </w:p>
              </w:tc>
              <w:tc>
                <w:tcPr/>
                <w:p>
                  <w:pPr>
                    <w:pStyle w:val="Compact"/>
                    <w:jc w:val="center"/>
                  </w:pPr>
                  <w:r>
                    <w:t xml:space="preserve">Criterion</w:t>
                  </w:r>
                </w:p>
              </w:tc>
              <w:tc>
                <w:tcPr/>
                <w:p>
                  <w:pPr>
                    <w:pStyle w:val="Compact"/>
                    <w:jc w:val="center"/>
                  </w:pPr>
                  <w:r>
                    <w:t xml:space="preserve">Basis</w:t>
                  </w:r>
                </w:p>
              </w:tc>
            </w:tr>
            <w:tr>
              <w:tc>
                <w:tcPr/>
                <w:p>
                  <w:pPr>
                    <w:pStyle w:val="Compact"/>
                    <w:jc w:val="center"/>
                  </w:pPr>
                  <w:r>
                    <w:t xml:space="preserve">Leached Protein A (ppm)</w:t>
                  </w:r>
                </w:p>
              </w:tc>
              <w:tc>
                <w:tcPr/>
                <w:p>
                  <w:pPr>
                    <w:pStyle w:val="Compact"/>
                    <w:jc w:val="center"/>
                  </w:pPr>
                  <w:r>
                    <w:t xml:space="preserve">none</w:t>
                  </w:r>
                  <w:r>
                    <w:rPr>
                      <w:vertAlign w:val="superscript"/>
                    </w:rPr>
                    <w:t xml:space="preserve">b)</w:t>
                  </w:r>
                </w:p>
              </w:tc>
              <w:tc>
                <w:tcPr/>
                <w:p>
                  <w:pPr>
                    <w:pStyle w:val="Compact"/>
                    <w:jc w:val="center"/>
                  </w:pPr>
                  <w:r>
                    <w:t xml:space="preserve">–</w:t>
                  </w:r>
                </w:p>
              </w:tc>
              <w:tc>
                <w:tcPr/>
                <w:p>
                  <w:pPr>
                    <w:pStyle w:val="Compact"/>
                    <w:jc w:val="center"/>
                  </w:pPr>
                  <w:r>
                    <w:t xml:space="preserve">≤ 158</w:t>
                  </w:r>
                </w:p>
              </w:tc>
              <w:tc>
                <w:tcPr/>
                <w:p>
                  <w:pPr>
                    <w:pStyle w:val="Compact"/>
                    <w:jc w:val="center"/>
                  </w:pPr>
                  <w:r>
                    <w:t xml:space="preserve">Carried back</w:t>
                  </w:r>
                </w:p>
              </w:tc>
            </w:tr>
            <w:tr>
              <w:tc>
                <w:tcPr/>
                <w:p>
                  <w:pPr>
                    <w:pStyle w:val="Compact"/>
                    <w:jc w:val="center"/>
                  </w:pPr>
                  <w:r>
                    <w:t xml:space="preserve">Fragments, LMW (%)</w:t>
                  </w:r>
                </w:p>
              </w:tc>
              <w:tc>
                <w:tcPr/>
                <w:p>
                  <w:pPr>
                    <w:pStyle w:val="Compact"/>
                    <w:jc w:val="center"/>
                  </w:pPr>
                  <w:r>
                    <w:t xml:space="preserve">not assessed</w:t>
                  </w:r>
                  <w:r>
                    <w:rPr>
                      <w:vertAlign w:val="superscript"/>
                    </w:rPr>
                    <w:t xml:space="preserve">c)</w:t>
                  </w:r>
                </w:p>
              </w:tc>
              <w:tc>
                <w:tcPr/>
                <w:p>
                  <w:pPr>
                    <w:pStyle w:val="Compact"/>
                    <w:jc w:val="center"/>
                  </w:pPr>
                  <w:r>
                    <w:t xml:space="preserve">–</w:t>
                  </w:r>
                </w:p>
              </w:tc>
              <w:tc>
                <w:tcPr/>
                <w:p>
                  <w:pPr>
                    <w:pStyle w:val="Compact"/>
                    <w:jc w:val="center"/>
                  </w:pPr>
                  <w:r>
                    <w:t xml:space="preserve">≤ 2.45</w:t>
                  </w:r>
                </w:p>
              </w:tc>
              <w:tc>
                <w:tcPr/>
                <w:p>
                  <w:pPr>
                    <w:pStyle w:val="Compact"/>
                    <w:jc w:val="center"/>
                  </w:pPr>
                  <w:r>
                    <w:t xml:space="preserve">Carried back</w:t>
                  </w:r>
                </w:p>
              </w:tc>
            </w:tr>
            <w:tr>
              <w:tc>
                <w:tcPr/>
                <w:p>
                  <w:pPr>
                    <w:pStyle w:val="Compact"/>
                    <w:jc w:val="center"/>
                  </w:pPr>
                  <w:r>
                    <w:t xml:space="preserve">Host cell protein (ng/mg)</w:t>
                  </w:r>
                </w:p>
              </w:tc>
              <w:tc>
                <w:tcPr/>
                <w:p>
                  <w:pPr>
                    <w:pStyle w:val="Compact"/>
                    <w:jc w:val="center"/>
                  </w:pPr>
                  <w:r>
                    <w:t xml:space="preserve">≤ 10,724</w:t>
                  </w:r>
                </w:p>
              </w:tc>
              <w:tc>
                <w:tcPr/>
                <w:p>
                  <w:pPr>
                    <w:pStyle w:val="Compact"/>
                    <w:jc w:val="center"/>
                  </w:pPr>
                  <w:r>
                    <w:t xml:space="preserve">R1, margin 4.5</w:t>
                  </w:r>
                </w:p>
              </w:tc>
              <w:tc>
                <w:tcPr/>
                <w:p>
                  <w:pPr>
                    <w:pStyle w:val="Compact"/>
                    <w:jc w:val="center"/>
                  </w:pPr>
                  <w:r>
                    <w:t xml:space="preserve">≤ 17,069</w:t>
                  </w:r>
                </w:p>
              </w:tc>
              <w:tc>
                <w:tcPr/>
                <w:p>
                  <w:pPr>
                    <w:pStyle w:val="Compact"/>
                    <w:jc w:val="center"/>
                  </w:pPr>
                  <w:r>
                    <w:t xml:space="preserve">Carried back, widened</w:t>
                  </w:r>
                  <w:r>
                    <w:rPr>
                      <w:vertAlign w:val="superscript"/>
                    </w:rPr>
                    <w:t xml:space="preserve">d)</w:t>
                  </w:r>
                  <w:r>
                    <w:t xml:space="preserve"> </w:t>
                  </w:r>
                  <w:r>
                    <w:t xml:space="preserve">from ≤ 16,000</w:t>
                  </w:r>
                </w:p>
              </w:tc>
            </w:tr>
            <w:tr>
              <w:tc>
                <w:tcPr>
                  <w:gridSpan w:val="5"/>
                </w:tcPr>
                <w:p>
                  <w:pPr>
                    <w:pStyle w:val="Compact"/>
                    <w:jc w:val="center"/>
                  </w:pPr>
                  <w:r>
                    <w:rPr>
                      <w:vertAlign w:val="superscript"/>
                    </w:rPr>
                    <w:t xml:space="preserve">a)</w:t>
                  </w:r>
                  <w:r>
                    <w:t xml:space="preserve"> </w:t>
                  </w:r>
                  <w:r>
                    <w:t xml:space="preserve">Applied in the Version 1.0 reports at analysis. No approved Version 1.0 plan contained these criteria (INV-001 finding 1).</w:t>
                  </w:r>
                </w:p>
              </w:tc>
            </w:tr>
            <w:tr>
              <w:tc>
                <w:tcPr>
                  <w:gridSpan w:val="5"/>
                </w:tcPr>
                <w:p>
                  <w:pPr>
                    <w:pStyle w:val="Compact"/>
                    <w:jc w:val="center"/>
                  </w:pPr>
                  <w:r>
                    <w:rPr>
                      <w:vertAlign w:val="superscript"/>
                    </w:rPr>
                    <w:t xml:space="preserve">b)</w:t>
                  </w:r>
                  <w:r>
                    <w:t xml:space="preserve"> </w:t>
                  </w:r>
                  <w:r>
                    <w:t xml:space="preserve">Version 1.0 set no step criterion and judged the step against the drug-substance criterion.</w:t>
                  </w:r>
                </w:p>
              </w:tc>
            </w:tr>
            <w:tr>
              <w:tc>
                <w:tcPr>
                  <w:gridSpan w:val="5"/>
                </w:tcPr>
                <w:p>
                  <w:pPr>
                    <w:pStyle w:val="Compact"/>
                    <w:jc w:val="center"/>
                  </w:pPr>
                  <w:r>
                    <w:rPr>
                      <w:vertAlign w:val="superscript"/>
                    </w:rPr>
                    <w:t xml:space="preserve">c)</w:t>
                  </w:r>
                  <w:r>
                    <w:t xml:space="preserve"> </w:t>
                  </w:r>
                  <w:r>
                    <w:t xml:space="preserve">Version 1.0 did not report fragments. The attribute was added at Version 2.0.</w:t>
                  </w:r>
                </w:p>
              </w:tc>
            </w:tr>
            <w:tr>
              <w:tc>
                <w:tcPr>
                  <w:gridSpan w:val="5"/>
                </w:tcPr>
                <w:p>
                  <w:pPr>
                    <w:pStyle w:val="Compact"/>
                    <w:jc w:val="center"/>
                  </w:pPr>
                  <w:r>
                    <w:rPr>
                      <w:vertAlign w:val="superscript"/>
                    </w:rPr>
                    <w:t xml:space="preserve">d)</w:t>
                  </w:r>
                  <w:r>
                    <w:t xml:space="preserve"> </w:t>
                  </w:r>
                  <w:r>
                    <w:t xml:space="preserve">Widened on verification: a downstream step did better than the platform worst case at the one-sided 95 % prediction bound of a single batch, on a model that meets the first three adequacy criteria of PCMP-001 §7.2.</w:t>
                  </w:r>
                </w:p>
              </w:tc>
            </w:tr>
            <w:tr>
              <w:tc>
                <w:tcPr>
                  <w:gridSpan w:val="5"/>
                </w:tcPr>
                <w:p>
                  <w:pPr>
                    <w:pStyle w:val="Compact"/>
                    <w:jc w:val="center"/>
                  </w:pPr>
                  <w:r>
                    <w:rPr>
                      <w:vertAlign w:val="superscript"/>
                    </w:rPr>
                    <w:t xml:space="preserve">R1</w:t>
                  </w:r>
                  <w:r>
                    <w:t xml:space="preserve"> </w:t>
                  </w:r>
                  <w:r>
                    <w:t xml:space="preserve">Version 1.0 rule: nominal back-calculation / margin.</w:t>
                  </w:r>
                </w:p>
              </w:tc>
            </w:tr>
          </w:tbl>
          <w:bookmarkEnd w:id="23"/>
          <w:p/>
        </w:tc>
      </w:tr>
    </w:tbl>
    <w:p>
      <w:pPr>
        <w:pStyle w:val="BodyText"/>
      </w:pPr>
      <w:r>
        <w:t xml:space="preserve">This amendment makes the following changes.</w:t>
      </w:r>
    </w:p>
    <w:p>
      <w:pPr>
        <w:pStyle w:val="Compact"/>
        <w:numPr>
          <w:ilvl w:val="0"/>
          <w:numId w:val="1001"/>
        </w:numPr>
      </w:pPr>
      <w:r>
        <w:t xml:space="preserve">It states an intermediate acceptance criterion (IAC) for host cell protein, leached Protein A and fragments in the Protein A pool (</w:t>
      </w:r>
      <w:hyperlink w:anchor="sec-iac">
        <w:r>
          <w:rPr>
            <w:rStyle w:val="Hyperlink"/>
          </w:rPr>
          <w:t xml:space="preserve">Section 8.1</w:t>
        </w:r>
      </w:hyperlink>
      <w:r>
        <w:t xml:space="preserve">). Each is the drug substance criterion carried back through the platform worst case of the downstream steps. Because this derivation uses no data from the Protein A studies, it may be applied to studies that were already executed. The criterion for pool host cell protein is in force at a wider value, because the A-Mab results of anion exchange showed at the one-sided 95 % prediction bound of a single batch, from a model that meets the first three adequacy criteria of PCMP-001 and is not an exact fit, that the step clears more host cell protein than its platform worst case.</w:t>
      </w:r>
    </w:p>
    <w:p>
      <w:pPr>
        <w:pStyle w:val="Compact"/>
        <w:numPr>
          <w:ilvl w:val="0"/>
          <w:numId w:val="1001"/>
        </w:numPr>
      </w:pPr>
      <w:r>
        <w:t xml:space="preserve">It qualifies the scale-down model by its offset from manufacturing scale, by the rule that PCMP-001 sets for scale-down model qualification. For each attribute that the qualification compares at both scales and that has a criterion, the offset is subtracted before a result is judged. The ranges and conclusions of PCR-005 for these attributes are therefore stated at manufacturing scale (</w:t>
      </w:r>
      <w:hyperlink w:anchor="sec-sdm">
        <w:r>
          <w:rPr>
            <w:rStyle w:val="Hyperlink"/>
          </w:rPr>
          <w:t xml:space="preserve">Section 5.1</w:t>
        </w:r>
      </w:hyperlink>
      <w:r>
        <w:t xml:space="preserve">). Whether the model is qualified for an attribute is decided at analysis. The rule therefore replaces the Version 1.0 rules that made the qualification a gate. Version 1.0 stated in its acceptance criteria,</w:t>
      </w:r>
      <w:r>
        <w:t xml:space="preserve"> </w:t>
      </w:r>
      <w:r>
        <w:t xml:space="preserve">“The scale-down model must meet the qualification criteria of §5.1 before any characterization run is executed. A characterization run performed on an unqualified model may not be used to support an operating range.”</w:t>
      </w:r>
      <w:r>
        <w:t xml:space="preserve"> </w:t>
      </w:r>
      <w:r>
        <w:t xml:space="preserve">Its study sequence stated that the scale-down model is qualified first and that the response-surface design will not begin until the model qualification remains valid (</w:t>
      </w:r>
      <w:hyperlink w:anchor="sec-deliverables">
        <w:r>
          <w:rPr>
            <w:rStyle w:val="Hyperlink"/>
          </w:rPr>
          <w:t xml:space="preserve">Section 11</w:t>
        </w:r>
      </w:hyperlink>
      <w:r>
        <w:t xml:space="preserve">). The qualification runs and the offset estimates still come first, and a model that is not qualified for an attribute is not used for that attribute (criterion 1 of</w:t>
      </w:r>
      <w:r>
        <w:t xml:space="preserve"> </w:t>
      </w:r>
      <w:hyperlink w:anchor="sec-criteria">
        <w:r>
          <w:rPr>
            <w:rStyle w:val="Hyperlink"/>
          </w:rPr>
          <w:t xml:space="preserve">Section 7</w:t>
        </w:r>
      </w:hyperlink>
      <w:r>
        <w:t xml:space="preserve">). Objective 6 is added for this change.</w:t>
      </w:r>
    </w:p>
    <w:p>
      <w:pPr>
        <w:pStyle w:val="Compact"/>
        <w:numPr>
          <w:ilvl w:val="0"/>
          <w:numId w:val="1001"/>
        </w:numPr>
      </w:pPr>
      <w:r>
        <w:t xml:space="preserve">It adds fragments measured by nrCE-SDS (AMV-3020, under the non-reduced CE-SDS procedure SOP-3015) as a response of the response-surface design. The method decision AMD-001 of 2026-03-20 set nrCE-SDS as the method for fragments at every step. The retained response-surface samples are tested by nrCE-SDS in study S-PA-RET, the retest of retained samples. The screening samples were not retained. Their SEC fragment results are kept in the record and are not used for any decision, because SEC overstates fragments in the Protein A pool (INV-001 finding 6,</w:t>
      </w:r>
      <w:r>
        <w:t xml:space="preserve"> </w:t>
      </w:r>
      <w:hyperlink w:anchor="sec-uo">
        <w:r>
          <w:rPr>
            <w:rStyle w:val="Hyperlink"/>
          </w:rPr>
          <w:t xml:space="preserve">Section 4.1</w:t>
        </w:r>
      </w:hyperlink>
      <w:r>
        <w:t xml:space="preserve">). Objective 7 is added for this change, and fragments enter objectives 1 and 3.</w:t>
      </w:r>
    </w:p>
    <w:p>
      <w:pPr>
        <w:pStyle w:val="Compact"/>
        <w:numPr>
          <w:ilvl w:val="0"/>
          <w:numId w:val="1001"/>
        </w:numPr>
      </w:pPr>
      <w:r>
        <w:t xml:space="preserve">It states the model adequacy criteria of PCMP-001 (</w:t>
      </w:r>
      <w:hyperlink w:anchor="sec-criteria">
        <w:r>
          <w:rPr>
            <w:rStyle w:val="Hyperlink"/>
          </w:rPr>
          <w:t xml:space="preserve">Section 7</w:t>
        </w:r>
      </w:hyperlink>
      <w:r>
        <w:t xml:space="preserve">). Version 1.0 judged a model on four measures, the model F-test, R² with its adjusted and predicted forms, the lack of fit against pure error, and diagnostic plots of the residuals. It judged a model adequate when the F-test was significant at p &lt; 0.05, the lack of fit was not significant against pure error at p &lt; 0.05, and the adjusted and predicted R² were reported and consistent with each other. It set no limit on the gap between them and no test on the residuals. Version 2.0 adds a limit of 0.20 on how far predicted R² may fall short of R², and the tests on the residuals and on influential runs with their thresholds. The remedy of PCMP-001 for a failing model replaces the consequence that Version 1.0 stated. Version 1.0 re-examined a model with a large gap between adjusted and predicted R² before it was used. It did not use a model with significant lack of fit to define the operating region until the misfit was explained, and it allowed the design to be augmented under SOP-1002. A model that fails the lack-of-fit test or the limit on overfitting is now either refitted with a justified change of terms or transformation, or it is not used to set a range (</w:t>
      </w:r>
      <w:hyperlink w:anchor="sec-stats">
        <w:r>
          <w:rPr>
            <w:rStyle w:val="Hyperlink"/>
          </w:rPr>
          <w:t xml:space="preserve">Section 5.5</w:t>
        </w:r>
      </w:hyperlink>
      <w:r>
        <w:t xml:space="preserve">). In the PAR analysis Version 1.0 compared the mean prediction in the set-point analysis and the 95 % predictive interval in the NOR-propagated analysis, with the other parameters sampled within their NORs and the residual variation of the model added. Version 2.0 draws the other parameters from the normal distribution that PCMP-001 defines and adds the uncertainty of the fitted coefficients (</w:t>
      </w:r>
      <w:hyperlink w:anchor="sec-par-analyses">
        <w:r>
          <w:rPr>
            <w:rStyle w:val="Hyperlink"/>
          </w:rPr>
          <w:t xml:space="preserve">Section 8.2</w:t>
        </w:r>
      </w:hyperlink>
      <w:r>
        <w:t xml:space="preserve">).</w:t>
      </w:r>
    </w:p>
    <w:p>
      <w:pPr>
        <w:pStyle w:val="Compact"/>
        <w:numPr>
          <w:ilvl w:val="0"/>
          <w:numId w:val="1001"/>
        </w:numPr>
      </w:pPr>
      <w:r>
        <w:t xml:space="preserve">It draws the operating region on the single-batch limit that PCMP-001 sets for the design space of a step (criterion 8 of</w:t>
      </w:r>
      <w:r>
        <w:t xml:space="preserve"> </w:t>
      </w:r>
      <w:hyperlink w:anchor="sec-criteria">
        <w:r>
          <w:rPr>
            <w:rStyle w:val="Hyperlink"/>
          </w:rPr>
          <w:t xml:space="preserve">Section 7</w:t>
        </w:r>
      </w:hyperlink>
      <w:r>
        <w:t xml:space="preserve">). A setting lies inside the region when every quality attribute the step controls meets its criterion at both ends of the 95 % prediction interval of a single run. Version 1.0 declared the region where the response-surface model predicts that each attribute meets its criterion, that is on the mean prediction.</w:t>
      </w:r>
    </w:p>
    <w:p>
      <w:pPr>
        <w:pStyle w:val="Compact"/>
        <w:numPr>
          <w:ilvl w:val="0"/>
          <w:numId w:val="1001"/>
        </w:numPr>
      </w:pPr>
      <w:r>
        <w:t xml:space="preserve">It classifies the parameters by the rule of PCMP-001 Version 2.0 (criterion 7 of</w:t>
      </w:r>
      <w:r>
        <w:t xml:space="preserve"> </w:t>
      </w:r>
      <w:hyperlink w:anchor="sec-criteria">
        <w:r>
          <w:rPr>
            <w:rStyle w:val="Hyperlink"/>
          </w:rPr>
          <w:t xml:space="preserve">Section 7</w:t>
        </w:r>
      </w:hyperlink>
      <w:r>
        <w:t xml:space="preserve">). Version 1.0 stated no rule for the classification and left it to PCR-005. Under PCMP-001 an attribute is affected by a parameter when a term that contains the parameter is significant, and a significant effect that is too small to move the attribute appreciably within the PAR does not by itself make a parameter critical. PCR-005 states the size of each effect across the PAR and the margin of the PAR to the NOR, and it classifies on them.</w:t>
      </w:r>
    </w:p>
    <w:p>
      <w:pPr>
        <w:pStyle w:val="Compact"/>
        <w:numPr>
          <w:ilvl w:val="0"/>
          <w:numId w:val="1001"/>
        </w:numPr>
      </w:pPr>
      <w:r>
        <w:t xml:space="preserve">It records the execution window of every study that the plan governs (</w:t>
      </w:r>
      <w:hyperlink w:anchor="tbl-chrono">
        <w:r>
          <w:rPr>
            <w:rStyle w:val="Hyperlink"/>
          </w:rPr>
          <w:t xml:space="preserve">Table 13</w:t>
        </w:r>
      </w:hyperlink>
      <w:r>
        <w:t xml:space="preserve">). INV-001 found that the Version 1.0 records gave no execution dates (finding 5). The compiled text of Version 1.0 carried 2026-07-24, the date on which the Version 1.0 reports were approved, in its title block in place of the date on which this plan was approved (finding 5). It also carried the limit for pool host cell protein that the criterion of change 1 replaces, added to the plan text when the package was compiled, without a revision of the approved plan (finding 1). The revision history gives the approval date.</w:t>
      </w:r>
    </w:p>
    <w:p>
      <w:pPr>
        <w:pStyle w:val="Compact"/>
        <w:numPr>
          <w:ilvl w:val="0"/>
          <w:numId w:val="1001"/>
        </w:numPr>
      </w:pPr>
      <w:r>
        <w:t xml:space="preserve">Two descriptive sentences of Version 1.0 in</w:t>
      </w:r>
      <w:r>
        <w:t xml:space="preserve"> </w:t>
      </w:r>
      <w:hyperlink w:anchor="sec-univariate">
        <w:r>
          <w:rPr>
            <w:rStyle w:val="Hyperlink"/>
          </w:rPr>
          <w:t xml:space="preserve">Section 6.4</w:t>
        </w:r>
      </w:hyperlink>
      <w:r>
        <w:t xml:space="preserve"> </w:t>
      </w:r>
      <w:r>
        <w:t xml:space="preserve">are corrected, with no change to the design. Version 1.0 said that neither operating temperature nor bed height is expected to interact with the parameters that drive host cell protein, and that the limitation of a univariate study is accepted because the risk assessment found no credible interaction to detect. Either parameter can interact with protein load through the dynamic binding capacity (</w:t>
      </w:r>
      <w:hyperlink w:anchor="sec-risk">
        <w:r>
          <w:rPr>
            <w:rStyle w:val="Hyperlink"/>
          </w:rPr>
          <w:t xml:space="preserve">Section 4.3</w:t>
        </w:r>
      </w:hyperlink>
      <w:r>
        <w:t xml:space="preserve">). The sentences now say so and refer to the grounds that</w:t>
      </w:r>
      <w:r>
        <w:t xml:space="preserve"> </w:t>
      </w:r>
      <w:hyperlink w:anchor="sec-risk">
        <w:r>
          <w:rPr>
            <w:rStyle w:val="Hyperlink"/>
          </w:rPr>
          <w:t xml:space="preserve">Section 4.3</w:t>
        </w:r>
      </w:hyperlink>
      <w:r>
        <w:t xml:space="preserve"> </w:t>
      </w:r>
      <w:r>
        <w:t xml:space="preserve">gives for studying each parameter one factor at a time.</w:t>
      </w:r>
    </w:p>
    <w:p>
      <w:pPr>
        <w:pStyle w:val="FirstParagraph"/>
      </w:pPr>
      <w:r>
        <w:t xml:space="preserve">The Version 2.0 criterion for pool host cell protein, 17,069 ng/mg, is wider than the Version 1.0 analysis limit of 10,724 ng/mg. From this revision on, a criterion of this plan changes only by the rule for verifying the platform worst cases, which</w:t>
      </w:r>
      <w:r>
        <w:t xml:space="preserve"> </w:t>
      </w:r>
      <w:hyperlink w:anchor="sec-iac">
        <w:r>
          <w:rPr>
            <w:rStyle w:val="Hyperlink"/>
          </w:rPr>
          <w:t xml:space="preserve">Section 8.1</w:t>
        </w:r>
      </w:hyperlink>
      <w:r>
        <w:t xml:space="preserve"> </w:t>
      </w:r>
      <w:r>
        <w:t xml:space="preserve">states.</w:t>
      </w:r>
    </w:p>
    <w:p>
      <w:pPr>
        <w:pStyle w:val="BodyText"/>
      </w:pPr>
      <w:r>
        <w:t xml:space="preserve">The factors, their ranges and the designs are those of Version 1.0. No run is added, removed or repeated by this amendment.</w:t>
      </w:r>
    </w:p>
    <w:bookmarkEnd w:id="24"/>
    <w:bookmarkEnd w:id="25"/>
    <w:bookmarkStart w:id="26" w:name="sec-objectives"/>
    <w:p>
      <w:pPr>
        <w:pStyle w:val="Heading1"/>
      </w:pPr>
      <w:r>
        <w:t xml:space="preserve">2. Objectives</w:t>
      </w:r>
    </w:p>
    <w:p>
      <w:pPr>
        <w:pStyle w:val="FirstParagraph"/>
      </w:pPr>
      <w:r>
        <w:t xml:space="preserve">The objectives of the characterization are the following.</w:t>
      </w:r>
    </w:p>
    <w:p>
      <w:pPr>
        <w:pStyle w:val="Compact"/>
        <w:numPr>
          <w:ilvl w:val="0"/>
          <w:numId w:val="1002"/>
        </w:numPr>
      </w:pPr>
      <w:r>
        <w:t xml:space="preserve">Quantify the effect of each characterized parameter on pool host cell protein, on step yield and on leached Protein A, over the ranges given in</w:t>
      </w:r>
      <w:r>
        <w:t xml:space="preserve"> </w:t>
      </w:r>
      <w:hyperlink w:anchor="sec-factors">
        <w:r>
          <w:rPr>
            <w:rStyle w:val="Hyperlink"/>
          </w:rPr>
          <w:t xml:space="preserve">Section 6.1</w:t>
        </w:r>
      </w:hyperlink>
      <w:r>
        <w:t xml:space="preserve">.</w:t>
      </w:r>
    </w:p>
    <w:p>
      <w:pPr>
        <w:pStyle w:val="Compact"/>
        <w:numPr>
          <w:ilvl w:val="0"/>
          <w:numId w:val="1002"/>
        </w:numPr>
      </w:pPr>
      <w:r>
        <w:t xml:space="preserve">Define the region of the characterized space within which the quality attributes this step controls are predicted to remain within their acceptance criteria.</w:t>
      </w:r>
    </w:p>
    <w:p>
      <w:pPr>
        <w:pStyle w:val="Compact"/>
        <w:numPr>
          <w:ilvl w:val="0"/>
          <w:numId w:val="1002"/>
        </w:numPr>
      </w:pPr>
      <w:r>
        <w:t xml:space="preserve">Establish a proven acceptable range for each parameter and each quality attribute the step controls, both with the other parameters at their set-points and with the other parameters varying within their normal operating ranges.</w:t>
      </w:r>
    </w:p>
    <w:p>
      <w:pPr>
        <w:pStyle w:val="Compact"/>
        <w:numPr>
          <w:ilvl w:val="0"/>
          <w:numId w:val="1002"/>
        </w:numPr>
      </w:pPr>
      <w:r>
        <w:t xml:space="preserve">Provide the demonstrated effects and the operating region from which each parameter will be classified under SOP-4001.</w:t>
      </w:r>
    </w:p>
    <w:p>
      <w:pPr>
        <w:pStyle w:val="Compact"/>
        <w:numPr>
          <w:ilvl w:val="0"/>
          <w:numId w:val="1002"/>
        </w:numPr>
      </w:pPr>
      <w:r>
        <w:t xml:space="preserve">Justify the parameter ranges carried into Stage 2 and the contribution this step makes to the control strategy of the drug substance process.</w:t>
      </w:r>
    </w:p>
    <w:p>
      <w:pPr>
        <w:pStyle w:val="Compact"/>
        <w:numPr>
          <w:ilvl w:val="0"/>
          <w:numId w:val="1002"/>
        </w:numPr>
      </w:pPr>
      <w:r>
        <w:t xml:space="preserve">Estimate, before the first characterization run, the offset between the scale-down model and manufacturing scale for each quantity that the qualification compares, and qualify the model by that offset for pool host cell protein and leached Protein A (</w:t>
      </w:r>
      <w:hyperlink w:anchor="sec-sdm">
        <w:r>
          <w:rPr>
            <w:rStyle w:val="Hyperlink"/>
          </w:rPr>
          <w:t xml:space="preserve">Section 5.1</w:t>
        </w:r>
      </w:hyperlink>
      <w:r>
        <w:t xml:space="preserve">).</w:t>
      </w:r>
    </w:p>
    <w:p>
      <w:pPr>
        <w:pStyle w:val="Compact"/>
        <w:numPr>
          <w:ilvl w:val="0"/>
          <w:numId w:val="1002"/>
        </w:numPr>
      </w:pPr>
      <w:r>
        <w:t xml:space="preserve">Fit response-surface models for pool host cell protein, step yield, leached Protein A and fragments by nrCE-SDS over the ranges studied, and judge their adequacy for prediction.</w:t>
      </w:r>
    </w:p>
    <w:p>
      <w:pPr>
        <w:pStyle w:val="FirstParagraph"/>
      </w:pPr>
      <w:r>
        <w:t xml:space="preserve">Objectives 1 to 5 are those of Version 1.0. Objectives 6 and 7 are added at Version 2.0 (changes 2 to 4). Change 3 also adds fragments to objectives 1 and 3, and change 2 states the ranges of objective 3 at manufacturing scale for pool host cell protein and leached Protein A.</w:t>
      </w:r>
    </w:p>
    <w:bookmarkEnd w:id="26"/>
    <w:bookmarkStart w:id="29" w:name="sec-related"/>
    <w:p>
      <w:pPr>
        <w:pStyle w:val="Heading1"/>
      </w:pPr>
      <w:r>
        <w:t xml:space="preserve">3. Related documents</w:t>
      </w:r>
    </w:p>
    <w:p>
      <w:pPr>
        <w:pStyle w:val="FirstParagraph"/>
      </w:pPr>
      <w:hyperlink w:anchor="tbl-related">
        <w:r>
          <w:rPr>
            <w:rStyle w:val="Hyperlink"/>
          </w:rPr>
          <w:t xml:space="preserve">Table 2</w:t>
        </w:r>
      </w:hyperlink>
      <w:r>
        <w:t xml:space="preserve"> </w:t>
      </w:r>
      <w:r>
        <w:t xml:space="preserve">lists the documents of the package that this plan depends on or feeds.</w:t>
      </w:r>
    </w:p>
    <w:tbl>
      <w:tblPr>
        <w:tblStyle w:val="Table"/>
        <w:tblW w:type="pct" w:w="5000"/>
        <w:tblLayout w:type="fixed"/>
        <w:tblLook w:firstRow="0" w:lastRow="0" w:firstColumn="0" w:lastColumn="0" w:noHBand="0" w:noVBand="0" w:val="0000"/>
      </w:tblPr>
      <w:tblGrid>
        <w:gridCol w:w="7920"/>
      </w:tblGrid>
      <w:tr>
        <w:tc>
          <w:tcPr/>
          <w:bookmarkStart w:id="27" w:name="tbl-related"/>
          <w:p>
            <w:pPr>
              <w:jc w:val="center"/>
            </w:pPr>
            <w:pPr>
              <w:jc w:val="start"/>
              <w:spacing w:before="200"/>
              <w:pStyle w:val="ImageCaption"/>
            </w:pPr>
            <w:r>
              <w:t xml:space="preserve">Table 2: Documents related to this plan.</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PCR-005</w:t>
                  </w:r>
                </w:p>
              </w:tc>
              <w:tc>
                <w:tcPr/>
                <w:p>
                  <w:pPr>
                    <w:pStyle w:val="Compact"/>
                    <w:jc w:val="left"/>
                    <w:jc w:val="center"/>
                  </w:pPr>
                  <w:r>
                    <w:t xml:space="preserve">Process Characterization Report (Protein A Chromatography (Step 5))</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bl>
          <w:bookmarkEnd w:id="27"/>
          <w:p/>
        </w:tc>
      </w:tr>
    </w:tbl>
    <w:p>
      <w:pPr>
        <w:pStyle w:val="BodyText"/>
      </w:pPr>
      <w:hyperlink w:anchor="tbl-sop">
        <w:r>
          <w:rPr>
            <w:rStyle w:val="Hyperlink"/>
          </w:rPr>
          <w:t xml:space="preserve">Table 3</w:t>
        </w:r>
      </w:hyperlink>
      <w:r>
        <w:t xml:space="preserve"> </w:t>
      </w:r>
      <w:r>
        <w:t xml:space="preserve">lists the controlled procedures and method validations that the studies use. The SOP and AMV numbers are placeholders.</w:t>
      </w:r>
    </w:p>
    <w:tbl>
      <w:tblPr>
        <w:tblStyle w:val="Table"/>
        <w:tblW w:type="pct" w:w="5000"/>
        <w:tblLayout w:type="fixed"/>
        <w:tblLook w:firstRow="0" w:lastRow="0" w:firstColumn="0" w:lastColumn="0" w:noHBand="0" w:noVBand="0" w:val="0000"/>
      </w:tblPr>
      <w:tblGrid>
        <w:gridCol w:w="7920"/>
      </w:tblGrid>
      <w:tr>
        <w:tc>
          <w:tcPr/>
          <w:bookmarkStart w:id="28" w:name="tbl-sop"/>
          <w:p>
            <w:pPr>
              <w:jc w:val="center"/>
            </w:pPr>
            <w:pPr>
              <w:jc w:val="start"/>
              <w:spacing w:before="200"/>
              <w:pStyle w:val="ImageCaption"/>
            </w:pPr>
            <w:r>
              <w:t xml:space="preserve">Table 3: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SOP-2007</w:t>
                  </w:r>
                </w:p>
              </w:tc>
              <w:tc>
                <w:tcPr/>
                <w:p>
                  <w:pPr>
                    <w:pStyle w:val="Compact"/>
                    <w:jc w:val="center"/>
                  </w:pPr>
                  <w:r>
                    <w:t xml:space="preserve">Operation of the Protein A Capture Chromatography Step</w:t>
                  </w:r>
                </w:p>
              </w:tc>
            </w:tr>
            <w:tr>
              <w:tc>
                <w:tcPr>
                  <w:gridSpan w:val="1"/>
                  <w:vMerge w:val="continue"/>
                </w:tcPr>
                <w:p>
                  <w:pPr/>
                </w:p>
              </w:tc>
              <w:tc>
                <w:tcPr/>
                <w:p>
                  <w:pPr>
                    <w:pStyle w:val="Compact"/>
                    <w:jc w:val="center"/>
                  </w:pPr>
                  <w:r>
                    <w:t xml:space="preserve">SOP-2008</w:t>
                  </w:r>
                </w:p>
              </w:tc>
              <w:tc>
                <w:tcPr/>
                <w:p>
                  <w:pPr>
                    <w:pStyle w:val="Compact"/>
                    <w:jc w:val="center"/>
                  </w:pPr>
                  <w:r>
                    <w:t xml:space="preserve">Chromatography Resin Life-Cycle, Packing and Sanitization</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gridSpan w:val="1"/>
                  <w:vMerge w:val="continue"/>
                </w:tcPr>
                <w:p>
                  <w:pPr/>
                </w:p>
              </w:tc>
              <w:tc>
                <w:tcPr/>
                <w:p>
                  <w:pPr>
                    <w:pStyle w:val="Compact"/>
                    <w:jc w:val="center"/>
                  </w:pPr>
                  <w:r>
                    <w:t xml:space="preserve">SOP-3015</w:t>
                  </w:r>
                </w:p>
              </w:tc>
              <w:tc>
                <w:tcPr/>
                <w:p>
                  <w:pPr>
                    <w:pStyle w:val="Compact"/>
                    <w:jc w:val="center"/>
                  </w:pPr>
                  <w:r>
                    <w:t xml:space="preserve">Purity by Non-Reduced CE-SDS</w:t>
                  </w:r>
                </w:p>
              </w:tc>
            </w:tr>
            <w:tr>
              <w:tc>
                <w:tcPr>
                  <w:vMerge w:val="restart"/>
                </w:tcPr>
                <w:p>
                  <w:pPr>
                    <w:pStyle w:val="Compact"/>
                    <w:jc w:val="center"/>
                  </w:pPr>
                  <w:r>
                    <w:t xml:space="preserve">Analytical method validation</w:t>
                  </w:r>
                </w:p>
              </w:tc>
              <w:tc>
                <w:tcPr/>
                <w:p>
                  <w:pPr>
                    <w:pStyle w:val="Compact"/>
                    <w:jc w:val="center"/>
                  </w:pPr>
                  <w:r>
                    <w:t xml:space="preserve">AMV-3021</w:t>
                  </w:r>
                </w:p>
              </w:tc>
              <w:tc>
                <w:tcPr/>
                <w:p>
                  <w:pPr>
                    <w:pStyle w:val="Compact"/>
                    <w:jc w:val="center"/>
                  </w:pPr>
                  <w:r>
                    <w:t xml:space="preserve">Product Titre (Protein A Affinity HPLC)</w:t>
                  </w:r>
                </w:p>
              </w:tc>
            </w:tr>
            <w:tr>
              <w:tc>
                <w:tcPr>
                  <w:gridSpan w:val="1"/>
                  <w:vMerge w:val="continue"/>
                </w:tcPr>
                <w:p>
                  <w:pPr/>
                </w:p>
              </w:tc>
              <w:tc>
                <w:tcPr/>
                <w:p>
                  <w:pPr>
                    <w:pStyle w:val="Compact"/>
                    <w:jc w:val="center"/>
                  </w:pPr>
                  <w:r>
                    <w:t xml:space="preserve">AMV-3016</w:t>
                  </w:r>
                </w:p>
              </w:tc>
              <w:tc>
                <w:tcPr/>
                <w:p>
                  <w:pPr>
                    <w:pStyle w:val="Compact"/>
                    <w:jc w:val="center"/>
                  </w:pPr>
                  <w:r>
                    <w:t xml:space="preserve">Leached Protein A by ELISA (ppm)</w:t>
                  </w:r>
                </w:p>
              </w:tc>
            </w:tr>
            <w:tr>
              <w:tc>
                <w:tcPr>
                  <w:gridSpan w:val="1"/>
                  <w:vMerge w:val="continue"/>
                </w:tcPr>
                <w:p>
                  <w:pPr/>
                </w:p>
              </w:tc>
              <w:tc>
                <w:tcPr/>
                <w:p>
                  <w:pPr>
                    <w:pStyle w:val="Compact"/>
                    <w:jc w:val="center"/>
                  </w:pPr>
                  <w:r>
                    <w:t xml:space="preserve">AMV-3012</w:t>
                  </w:r>
                </w:p>
              </w:tc>
              <w:tc>
                <w:tcPr/>
                <w:p>
                  <w:pPr>
                    <w:pStyle w:val="Compact"/>
                    <w:jc w:val="center"/>
                  </w:pPr>
                  <w:r>
                    <w:t xml:space="preserve">Host-Cell Protein ELISA</w:t>
                  </w:r>
                </w:p>
              </w:tc>
            </w:tr>
            <w:tr>
              <w:tc>
                <w:tcPr>
                  <w:gridSpan w:val="1"/>
                  <w:vMerge w:val="continue"/>
                </w:tcPr>
                <w:p>
                  <w:pPr/>
                </w:p>
              </w:tc>
              <w:tc>
                <w:tcPr/>
                <w:p>
                  <w:pPr>
                    <w:pStyle w:val="Compact"/>
                    <w:jc w:val="center"/>
                  </w:pPr>
                  <w:r>
                    <w:t xml:space="preserve">AMV-3014</w:t>
                  </w:r>
                </w:p>
              </w:tc>
              <w:tc>
                <w:tcPr/>
                <w:p>
                  <w:pPr>
                    <w:pStyle w:val="Compact"/>
                    <w:jc w:val="center"/>
                  </w:pPr>
                  <w:r>
                    <w:t xml:space="preserve">Residual DNA (qPCR)</w:t>
                  </w:r>
                </w:p>
              </w:tc>
            </w:tr>
            <w:tr>
              <w:tc>
                <w:tcPr>
                  <w:gridSpan w:val="1"/>
                  <w:vMerge w:val="continue"/>
                </w:tcPr>
                <w:p>
                  <w:pPr/>
                </w:p>
              </w:tc>
              <w:tc>
                <w:tcPr/>
                <w:p>
                  <w:pPr>
                    <w:pStyle w:val="Compact"/>
                    <w:jc w:val="center"/>
                  </w:pPr>
                  <w:r>
                    <w:t xml:space="preserve">AMV-3011</w:t>
                  </w:r>
                </w:p>
              </w:tc>
              <w:tc>
                <w:tcPr/>
                <w:p>
                  <w:pPr>
                    <w:pStyle w:val="Compact"/>
                    <w:jc w:val="center"/>
                  </w:pPr>
                  <w:r>
                    <w:t xml:space="preserve">Size-Variants (SEC-HPLC)</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r>
              <w:tc>
                <w:tcPr>
                  <w:gridSpan w:val="1"/>
                  <w:vMerge w:val="continue"/>
                </w:tcPr>
                <w:p>
                  <w:pPr/>
                </w:p>
              </w:tc>
              <w:tc>
                <w:tcPr/>
                <w:p>
                  <w:pPr>
                    <w:pStyle w:val="Compact"/>
                    <w:jc w:val="center"/>
                  </w:pPr>
                  <w:r>
                    <w:t xml:space="preserve">AMV-3019</w:t>
                  </w:r>
                </w:p>
              </w:tc>
              <w:tc>
                <w:tcPr/>
                <w:p>
                  <w:pPr>
                    <w:pStyle w:val="Compact"/>
                    <w:jc w:val="center"/>
                  </w:pPr>
                  <w:r>
                    <w:t xml:space="preserve">Protein Concentration by A280 (UV)</w:t>
                  </w:r>
                </w:p>
              </w:tc>
            </w:tr>
          </w:tbl>
          <w:bookmarkEnd w:id="28"/>
          <w:p/>
        </w:tc>
      </w:tr>
    </w:tbl>
    <w:bookmarkEnd w:id="29"/>
    <w:bookmarkStart w:id="34" w:name="sec-prior"/>
    <w:p>
      <w:pPr>
        <w:pStyle w:val="Heading1"/>
      </w:pPr>
      <w:r>
        <w:t xml:space="preserve">4. Prior knowledge and quality risk basis</w:t>
      </w:r>
    </w:p>
    <w:bookmarkStart w:id="30" w:name="sec-uo"/>
    <w:p>
      <w:pPr>
        <w:pStyle w:val="Heading2"/>
      </w:pPr>
      <w:r>
        <w:t xml:space="preserve">4.1 Unit-operation description and prior knowledge</w:t>
      </w:r>
    </w:p>
    <w:p>
      <w:pPr>
        <w:pStyle w:val="FirstParagraph"/>
      </w:pPr>
      <w:r>
        <w:t xml:space="preserve">Protein A capture is an affinity step operated in bind and elute mode. Staphylococcal Protein A, immobilized on the resin, binds the Fc region of the antibody at neutral pH. The contact sits at the interface of the second and third constant domains of the heavy chain. Host cell protein, DNA and most other components of the clarified harvest do not bind and are removed in the load flow-through and the wash. When the pH is lowered, histidine residues at the Fc–ligand interface become protonated, the interaction weakens, and the antibody is released into a small volume of low-pH eluate.</w:t>
      </w:r>
    </w:p>
    <w:p>
      <w:pPr>
        <w:pStyle w:val="BodyText"/>
      </w:pPr>
      <w:r>
        <w:t xml:space="preserve">The same capture step has been used to purify the platform antibodies X-Mab, Y-Mab and Z-Mab, and A-Mab through clinical manufacture</w:t>
      </w:r>
      <w:r>
        <w:t xml:space="preserve"> </w:t>
      </w:r>
      <w:r>
        <w:t xml:space="preserve">(CMC Biotech Working Group 2009)</w:t>
      </w:r>
      <w:r>
        <w:t xml:space="preserve">. Five mechanisms set the expectations for this study.</w:t>
      </w:r>
    </w:p>
    <w:p>
      <w:pPr>
        <w:pStyle w:val="Compact"/>
        <w:numPr>
          <w:ilvl w:val="0"/>
          <w:numId w:val="1003"/>
        </w:numPr>
      </w:pPr>
      <w:r>
        <w:t xml:space="preserve">Host cell protein reaches the eluate by two routes. Some binds to the resin backbone or to the ligand. Some associates with the antibody through electrostatic and hydrophobic interactions, which the wash does not disrupt while the antibody stays bound to the ligand. A lower elution pH disrupts more of both kinds of interaction and releases more host cell protein with the product, so pool host cell protein is expected to rise as elution buffer pH falls. In the A-Mab case study pool host cell protein rose with protein load and as elution pH fell</w:t>
      </w:r>
      <w:r>
        <w:t xml:space="preserve"> </w:t>
      </w:r>
      <w:r>
        <w:t xml:space="preserve">(CMC Biotech Working Group 2009)</w:t>
      </w:r>
      <w:r>
        <w:t xml:space="preserve">, and the same directions are expected here. Pool host cell protein is reported per mass of antibody, and host cell protein that travels with the antibody rises in proportion to it, so that route alone does not explain a rise with load. No mechanism for the rise with load is assumed in this plan. Both parameters act on the host cell protein that is eluted, so an interaction between them is possible, and the designs can estimate it.</w:t>
      </w:r>
    </w:p>
    <w:p>
      <w:pPr>
        <w:pStyle w:val="Compact"/>
        <w:numPr>
          <w:ilvl w:val="0"/>
          <w:numId w:val="1003"/>
        </w:numPr>
      </w:pPr>
      <w:r>
        <w:t xml:space="preserve">Step yield is lost when antibody breaks through during the load or remains on the column at the end of collection. Breakthrough rises as the load approaches the dynamic binding capacity and as the residence time falls, because binding is limited by diffusion into the pores of the bead. A higher load flow rate shortens the residence time and lowers the dynamic binding capacity. At high load the bed is then close to its capacity, breakthrough starts earlier and yield falls. At low load the bed has capacity to spare and flow rate has little effect. Yield is therefore expected to fall with flow rate mainly at high load. Extending the end of pool collect recovers the tail of the elution peak and raises yield.</w:t>
      </w:r>
    </w:p>
    <w:p>
      <w:pPr>
        <w:pStyle w:val="Compact"/>
        <w:numPr>
          <w:ilvl w:val="0"/>
          <w:numId w:val="1003"/>
        </w:numPr>
      </w:pPr>
      <w:r>
        <w:t xml:space="preserve">Leached Protein A comes from hydrolysis of the coupling chemistry and from proteolysis of exposed ligand. The ligand fragments still bind Fc and elute with the antibody. The amount depends on the coupling chemistry, the cycle number and the sanitization history of the resin, which are properties of the resin over its life and not of a single run. It also depends on how long the load is held before capture, because proteolytic activity in the clarified harvest is expected to rise while it is held, so that a load held longer cleaves more ligand from the resin. Leached Protein A is reported per mass of antibody (ppm). If a similar amount of ligand leaches in each cycle, leached Protein A in ppm falls as protein load rises, and it is expected to depend little on the other parameters within their ranges.</w:t>
      </w:r>
    </w:p>
    <w:p>
      <w:pPr>
        <w:pStyle w:val="Compact"/>
        <w:numPr>
          <w:ilvl w:val="0"/>
          <w:numId w:val="1003"/>
        </w:numPr>
      </w:pPr>
      <w:r>
        <w:t xml:space="preserve">An antibody fragment is captured only if it still carries Fc. Fab fragments flow through with the load, and the pool therefore carries less fragment than the feed. A lower elution pH may add a little acid-catalysed hinge hydrolysis during elution. The pool also still carries host cell protein, and the part of it that elutes in the low molecular weight window of SEC is read as fragment. For this reason SEC overstates fragments in the Protein A pool, and nrCE-SDS does not (INV-001 finding 6).</w:t>
      </w:r>
    </w:p>
    <w:p>
      <w:pPr>
        <w:pStyle w:val="Compact"/>
        <w:numPr>
          <w:ilvl w:val="0"/>
          <w:numId w:val="1003"/>
        </w:numPr>
      </w:pPr>
      <w:r>
        <w:t xml:space="preserve">DNA is polyanionic and does not bind Protein A. Its clearance is large and is not expected to depend on the operating parameters within their ranges.</w:t>
      </w:r>
    </w:p>
    <w:p>
      <w:pPr>
        <w:pStyle w:val="FirstParagraph"/>
      </w:pPr>
      <w:r>
        <w:t xml:space="preserve">Protein A, when operated under platform conditions, does not separate glycan variants or charge variants, because it binds the Fc region independently of both</w:t>
      </w:r>
      <w:r>
        <w:t xml:space="preserve"> </w:t>
      </w:r>
      <w:r>
        <w:t xml:space="preserve">(CMC Biotech Working Group 2009)</w:t>
      </w:r>
      <w:r>
        <w:t xml:space="preserve">. Glycan variants and charge variants are therefore not responses of the designs.</w:t>
      </w:r>
    </w:p>
    <w:p>
      <w:pPr>
        <w:pStyle w:val="BodyText"/>
      </w:pPr>
      <w:r>
        <w:t xml:space="preserve">Aggregate and monomer both carry Fc and both bind Protein A. Aggregates bind with higher avidity and can be partly resolved on elution, but under platform conditions the aggregate level of the pool follows that of the load. Low pH can partly unfold the antibody and promote aggregation, and the amount formed grows with the time spent at low pH. In the column the antibody is at elution pH only for the duration of the elution. In the Protein A characterization of the case study no process parameter had a significant effect on aggregate</w:t>
      </w:r>
      <w:r>
        <w:t xml:space="preserve"> </w:t>
      </w:r>
      <w:r>
        <w:t xml:space="preserve">(CMC Biotech Working Group 2009)</w:t>
      </w:r>
      <w:r>
        <w:t xml:space="preserve">. Aggregate formation at low pH is characterized in the low-pH viral inactivation study (PCP-006). That study spans pH 3.2–4.0 for 60–180 min, which covers the elution pH range of this step for a much longer time. For these reasons aggregate is not a response of the designs of this plan. It is measured on every pool by SEC for information.</w:t>
      </w:r>
    </w:p>
    <w:bookmarkEnd w:id="30"/>
    <w:bookmarkStart w:id="32" w:name="sec-cqas"/>
    <w:p>
      <w:pPr>
        <w:pStyle w:val="Heading2"/>
      </w:pPr>
      <w:r>
        <w:t xml:space="preserve">4.2 Quality attributes in scope</w:t>
      </w:r>
    </w:p>
    <w:p>
      <w:pPr>
        <w:pStyle w:val="FirstParagraph"/>
      </w:pPr>
      <w:r>
        <w:t xml:space="preserve">Leached Protein A is the only CQA that this step introduces. It enters the process at capture. The step is also the principal point of clearance for host cell protein and DNA, and it partly clears fragments.</w:t>
      </w:r>
      <w:r>
        <w:t xml:space="preserve"> </w:t>
      </w:r>
      <w:hyperlink w:anchor="tbl-cqas">
        <w:r>
          <w:rPr>
            <w:rStyle w:val="Hyperlink"/>
          </w:rPr>
          <w:t xml:space="preserve">Table 4</w:t>
        </w:r>
      </w:hyperlink>
      <w:r>
        <w:t xml:space="preserve"> </w:t>
      </w:r>
      <w:r>
        <w:t xml:space="preserve">lists the attributes in scope with their drug substance criteria and their criticality from the CQA register of PCMP-001. Criticality was assigned with Tool #1 of the A-Mab case study, whose score is the product of impact and uncertainty</w:t>
      </w:r>
      <w:r>
        <w:t xml:space="preserve"> </w:t>
      </w:r>
      <w:r>
        <w:t xml:space="preserve">(CMC Biotech Working Group 2009)</w:t>
      </w:r>
      <w:r>
        <w:t xml:space="preserve">. The levels run from very low (VL) to very high (VH), and the Tool #1 column gives the score behind each level.</w:t>
      </w:r>
    </w:p>
    <w:tbl>
      <w:tblPr>
        <w:tblStyle w:val="Table"/>
        <w:tblW w:type="pct" w:w="5000"/>
        <w:tblLayout w:type="fixed"/>
        <w:tblLook w:firstRow="0" w:lastRow="0" w:firstColumn="0" w:lastColumn="0" w:noHBand="0" w:noVBand="0" w:val="0000"/>
      </w:tblPr>
      <w:tblGrid>
        <w:gridCol w:w="7920"/>
      </w:tblGrid>
      <w:tr>
        <w:tc>
          <w:tcPr/>
          <w:bookmarkStart w:id="31" w:name="tbl-cqas"/>
          <w:p>
            <w:pPr>
              <w:jc w:val="center"/>
            </w:pPr>
            <w:pPr>
              <w:jc w:val="start"/>
              <w:spacing w:before="200"/>
              <w:pStyle w:val="ImageCaption"/>
            </w:pPr>
            <w:r>
              <w:t xml:space="preserve">Table 4: Quality attributes in scope of this plan, with the drug substance criterion and criticality.</w:t>
            </w:r>
          </w:p>
          <w:tbl>
            <w:tblPr>
              <w:tblStyle w:val="Table"/>
              <w:tblW w:type="pct" w:w="5000"/>
              <w:tblLayout w:type="fixed"/>
              <w:tblLook w:firstRow="1" w:lastRow="0" w:firstColumn="0" w:lastColumn="0" w:noHBand="0" w:noVBand="0" w:val="0020"/>
            </w:tblPr>
            <w:tblGrid>
              <w:gridCol w:w="2805"/>
              <w:gridCol w:w="1485"/>
              <w:gridCol w:w="1485"/>
              <w:gridCol w:w="1237"/>
              <w:gridCol w:w="907"/>
            </w:tblGrid>
            <w:tr>
              <w:trPr>
                <w:tblHeader w:val="on"/>
              </w:trPr>
              <w:tc>
                <w:tcPr/>
                <w:p>
                  <w:pPr>
                    <w:pStyle w:val="Compact"/>
                    <w:jc w:val="left"/>
                    <w:jc w:val="center"/>
                  </w:pPr>
                  <w:r>
                    <w:t xml:space="preserve">CQA</w:t>
                  </w:r>
                </w:p>
              </w:tc>
              <w:tc>
                <w:tcPr/>
                <w:p>
                  <w:pPr>
                    <w:pStyle w:val="Compact"/>
                    <w:jc w:val="left"/>
                    <w:jc w:val="center"/>
                  </w:pPr>
                  <w:r>
                    <w:t xml:space="preserve">Category</w:t>
                  </w:r>
                </w:p>
              </w:tc>
              <w:tc>
                <w:tcPr/>
                <w:p>
                  <w:pPr>
                    <w:pStyle w:val="Compact"/>
                    <w:jc w:val="left"/>
                    <w:jc w:val="center"/>
                  </w:pPr>
                  <w:r>
                    <w:t xml:space="preserve">DS criterion</w:t>
                  </w:r>
                </w:p>
              </w:tc>
              <w:tc>
                <w:tcPr/>
                <w:p>
                  <w:pPr>
                    <w:pStyle w:val="Compact"/>
                    <w:jc w:val="left"/>
                    <w:jc w:val="center"/>
                  </w:pPr>
                  <w:r>
                    <w:t xml:space="preserve">Criticality</w:t>
                  </w:r>
                </w:p>
              </w:tc>
              <w:tc>
                <w:tcPr/>
                <w:p>
                  <w:pPr>
                    <w:pStyle w:val="Compact"/>
                    <w:jc w:val="right"/>
                    <w:jc w:val="center"/>
                  </w:pPr>
                  <w:r>
                    <w:t xml:space="preserve">Tool #1</w:t>
                  </w:r>
                </w:p>
              </w:tc>
            </w:tr>
            <w:tr>
              <w:tc>
                <w:tcPr/>
                <w:p>
                  <w:pPr>
                    <w:pStyle w:val="Compact"/>
                    <w:jc w:val="left"/>
                    <w:jc w:val="center"/>
                  </w:pPr>
                  <w:r>
                    <w:t xml:space="preserve">Leached Protein A</w:t>
                  </w:r>
                </w:p>
              </w:tc>
              <w:tc>
                <w:tcPr/>
                <w:p>
                  <w:pPr>
                    <w:pStyle w:val="Compact"/>
                    <w:jc w:val="left"/>
                    <w:jc w:val="center"/>
                  </w:pPr>
                  <w:r>
                    <w:t xml:space="preserve">process impurity</w:t>
                  </w:r>
                </w:p>
              </w:tc>
              <w:tc>
                <w:tcPr/>
                <w:p>
                  <w:pPr>
                    <w:pStyle w:val="Compact"/>
                    <w:jc w:val="left"/>
                    <w:jc w:val="center"/>
                  </w:pPr>
                  <w:r>
                    <w:t xml:space="preserve">≤ 5 ppm</w:t>
                  </w:r>
                </w:p>
              </w:tc>
              <w:tc>
                <w:tcPr/>
                <w:p>
                  <w:pPr>
                    <w:pStyle w:val="Compact"/>
                    <w:jc w:val="left"/>
                    <w:jc w:val="center"/>
                  </w:pPr>
                  <w:r>
                    <w:t xml:space="preserve">L-M</w:t>
                  </w:r>
                </w:p>
              </w:tc>
              <w:tc>
                <w:tcPr/>
                <w:p>
                  <w:pPr>
                    <w:pStyle w:val="Compact"/>
                    <w:jc w:val="right"/>
                    <w:jc w:val="center"/>
                  </w:pPr>
                  <w:r>
                    <w:t xml:space="preserve">16</w:t>
                  </w:r>
                </w:p>
              </w:tc>
            </w:tr>
            <w:tr>
              <w:tc>
                <w:tcPr/>
                <w:p>
                  <w:pPr>
                    <w:pStyle w:val="Compact"/>
                    <w:jc w:val="left"/>
                    <w:jc w:val="center"/>
                  </w:pPr>
                  <w:r>
                    <w:t xml:space="preserve">Host Cell Protein (HCP)</w:t>
                  </w:r>
                </w:p>
              </w:tc>
              <w:tc>
                <w:tcPr/>
                <w:p>
                  <w:pPr>
                    <w:pStyle w:val="Compact"/>
                    <w:jc w:val="left"/>
                    <w:jc w:val="center"/>
                  </w:pPr>
                  <w:r>
                    <w:t xml:space="preserve">process impurity</w:t>
                  </w:r>
                </w:p>
              </w:tc>
              <w:tc>
                <w:tcPr/>
                <w:p>
                  <w:pPr>
                    <w:pStyle w:val="Compact"/>
                    <w:jc w:val="left"/>
                    <w:jc w:val="center"/>
                  </w:pPr>
                  <w:r>
                    <w:t xml:space="preserve">≤ 100 ng/mg</w:t>
                  </w:r>
                </w:p>
              </w:tc>
              <w:tc>
                <w:tcPr/>
                <w:p>
                  <w:pPr>
                    <w:pStyle w:val="Compact"/>
                    <w:jc w:val="left"/>
                    <w:jc w:val="center"/>
                  </w:pPr>
                  <w:r>
                    <w:t xml:space="preserve">M-H</w:t>
                  </w:r>
                </w:p>
              </w:tc>
              <w:tc>
                <w:tcPr/>
                <w:p>
                  <w:pPr>
                    <w:pStyle w:val="Compact"/>
                    <w:jc w:val="right"/>
                    <w:jc w:val="center"/>
                  </w:pPr>
                  <w:r>
                    <w:t xml:space="preserve">36</w:t>
                  </w:r>
                </w:p>
              </w:tc>
            </w:tr>
            <w:tr>
              <w:tc>
                <w:tcPr/>
                <w:p>
                  <w:pPr>
                    <w:pStyle w:val="Compact"/>
                    <w:jc w:val="left"/>
                    <w:jc w:val="center"/>
                  </w:pPr>
                  <w:r>
                    <w:t xml:space="preserve">Fragments (LMW, clipped species)</w:t>
                  </w:r>
                </w:p>
              </w:tc>
              <w:tc>
                <w:tcPr/>
                <w:p>
                  <w:pPr>
                    <w:pStyle w:val="Compact"/>
                    <w:jc w:val="left"/>
                    <w:jc w:val="center"/>
                  </w:pPr>
                  <w:r>
                    <w:t xml:space="preserve">size variant</w:t>
                  </w:r>
                </w:p>
              </w:tc>
              <w:tc>
                <w:tcPr/>
                <w:p>
                  <w:pPr>
                    <w:pStyle w:val="Compact"/>
                    <w:jc w:val="left"/>
                    <w:jc w:val="center"/>
                  </w:pPr>
                  <w:r>
                    <w:t xml:space="preserve">≤ 2 % (nrCE-SDS)</w:t>
                  </w:r>
                </w:p>
              </w:tc>
              <w:tc>
                <w:tcPr/>
                <w:p>
                  <w:pPr>
                    <w:pStyle w:val="Compact"/>
                    <w:jc w:val="left"/>
                    <w:jc w:val="center"/>
                  </w:pPr>
                  <w:r>
                    <w:t xml:space="preserve">L</w:t>
                  </w:r>
                </w:p>
              </w:tc>
              <w:tc>
                <w:tcPr/>
                <w:p>
                  <w:pPr>
                    <w:pStyle w:val="Compact"/>
                    <w:jc w:val="right"/>
                    <w:jc w:val="center"/>
                  </w:pPr>
                  <w:r>
                    <w:t xml:space="preserve">12</w:t>
                  </w:r>
                </w:p>
              </w:tc>
            </w:tr>
            <w:tr>
              <w:tc>
                <w:tcPr/>
                <w:p>
                  <w:pPr>
                    <w:pStyle w:val="Compact"/>
                    <w:jc w:val="left"/>
                    <w:jc w:val="center"/>
                  </w:pPr>
                  <w:r>
                    <w:t xml:space="preserve">Residual DNA</w:t>
                  </w:r>
                </w:p>
              </w:tc>
              <w:tc>
                <w:tcPr/>
                <w:p>
                  <w:pPr>
                    <w:pStyle w:val="Compact"/>
                    <w:jc w:val="left"/>
                    <w:jc w:val="center"/>
                  </w:pPr>
                  <w:r>
                    <w:t xml:space="preserve">process impurity</w:t>
                  </w:r>
                </w:p>
              </w:tc>
              <w:tc>
                <w:tcPr/>
                <w:p>
                  <w:pPr>
                    <w:pStyle w:val="Compact"/>
                    <w:jc w:val="left"/>
                    <w:jc w:val="center"/>
                  </w:pPr>
                  <w:r>
                    <w:t xml:space="preserve">≤ 0.001 ng/dose</w:t>
                  </w:r>
                </w:p>
              </w:tc>
              <w:tc>
                <w:tcPr/>
                <w:p>
                  <w:pPr>
                    <w:pStyle w:val="Compact"/>
                    <w:jc w:val="left"/>
                    <w:jc w:val="center"/>
                  </w:pPr>
                  <w:r>
                    <w:t xml:space="preserve">VL</w:t>
                  </w:r>
                </w:p>
              </w:tc>
              <w:tc>
                <w:tcPr/>
                <w:p>
                  <w:pPr>
                    <w:pStyle w:val="Compact"/>
                    <w:jc w:val="right"/>
                    <w:jc w:val="center"/>
                  </w:pPr>
                  <w:r>
                    <w:t xml:space="preserve">6</w:t>
                  </w:r>
                </w:p>
              </w:tc>
            </w:tr>
            <w:tr>
              <w:tc>
                <w:tcPr/>
                <w:p>
                  <w:pPr>
                    <w:pStyle w:val="Compact"/>
                    <w:jc w:val="left"/>
                    <w:jc w:val="center"/>
                  </w:pPr>
                  <w:r>
                    <w:t xml:space="preserve">Aggregates (HMW)</w:t>
                  </w:r>
                </w:p>
              </w:tc>
              <w:tc>
                <w:tcPr/>
                <w:p>
                  <w:pPr>
                    <w:pStyle w:val="Compact"/>
                    <w:jc w:val="left"/>
                    <w:jc w:val="center"/>
                  </w:pPr>
                  <w:r>
                    <w:t xml:space="preserve">size variant</w:t>
                  </w:r>
                </w:p>
              </w:tc>
              <w:tc>
                <w:tcPr/>
                <w:p>
                  <w:pPr>
                    <w:pStyle w:val="Compact"/>
                    <w:jc w:val="left"/>
                    <w:jc w:val="center"/>
                  </w:pPr>
                  <w:r>
                    <w:t xml:space="preserve">≤ 5 % HMW (SEC)</w:t>
                  </w:r>
                </w:p>
              </w:tc>
              <w:tc>
                <w:tcPr/>
                <w:p>
                  <w:pPr>
                    <w:pStyle w:val="Compact"/>
                    <w:jc w:val="left"/>
                    <w:jc w:val="center"/>
                  </w:pPr>
                  <w:r>
                    <w:t xml:space="preserve">H</w:t>
                  </w:r>
                </w:p>
              </w:tc>
              <w:tc>
                <w:tcPr/>
                <w:p>
                  <w:pPr>
                    <w:pStyle w:val="Compact"/>
                    <w:jc w:val="right"/>
                    <w:jc w:val="center"/>
                  </w:pPr>
                  <w:r>
                    <w:t xml:space="preserve">60</w:t>
                  </w:r>
                </w:p>
              </w:tc>
            </w:tr>
          </w:tbl>
          <w:bookmarkEnd w:id="31"/>
          <w:p/>
        </w:tc>
      </w:tr>
    </w:tbl>
    <w:p>
      <w:pPr>
        <w:pStyle w:val="BodyText"/>
      </w:pPr>
      <w:r>
        <w:t xml:space="preserve">The drug substance criteria do not apply to the Protein A pool directly. Cation exchange and anion exchange remove host cell protein and leached Protein A after this step, so a pool that the later steps bring within the drug substance limit can itself lie far above it. Host cell protein, leached Protein A and fragments in the Protein A pool are therefore each judged against an intermediate acceptance criterion (</w:t>
      </w:r>
      <w:hyperlink w:anchor="sec-iac">
        <w:r>
          <w:rPr>
            <w:rStyle w:val="Hyperlink"/>
          </w:rPr>
          <w:t xml:space="preserve">Section 8.1</w:t>
        </w:r>
      </w:hyperlink>
      <w:r>
        <w:t xml:space="preserve">). Residual DNA is measured for information and is not a response of the designs. DNA is polyanionic and does not bind Protein A, so it leaves the column in the flow-through and the wash, and its clearance is expected to be large and insensitive to the parameters. Its drug substance criterion of ≤ 0.001 ng/dose is taken from the A-Mab case study (Table 2.17), where it is set far below the limit of the World Health Organization for DNA from continuous cell lines</w:t>
      </w:r>
      <w:r>
        <w:t xml:space="preserve"> </w:t>
      </w:r>
      <w:r>
        <w:t xml:space="preserve">(CMC Biotech Working Group 2009)</w:t>
      </w:r>
      <w:r>
        <w:t xml:space="preserve">. Aggregate is measured by SEC for information only. Step yield is a performance attribute. It has no acceptance criterion and is used for the classification of parameters that act on process performance.</w:t>
      </w:r>
    </w:p>
    <w:bookmarkEnd w:id="32"/>
    <w:bookmarkStart w:id="33" w:name="sec-risk"/>
    <w:p>
      <w:pPr>
        <w:pStyle w:val="Heading2"/>
      </w:pPr>
      <w:r>
        <w:t xml:space="preserve">4.3 Risk-based prioritization of parameters</w:t>
      </w:r>
    </w:p>
    <w:p>
      <w:pPr>
        <w:pStyle w:val="FirstParagraph"/>
      </w:pPr>
      <w:r>
        <w:t xml:space="preserve">The pre-characterization risk assessment RA-001 assessed every parameter of the step before characterization began. Each parameter was ranked on its potential impact on the CQAs and on process performance, and on its potential to interact with other parameters.</w:t>
      </w:r>
    </w:p>
    <w:p>
      <w:pPr>
        <w:pStyle w:val="BodyText"/>
      </w:pPr>
      <w:r>
        <w:t xml:space="preserve">Protein load, elution buffer pH, load flow rate and end of pool collect were assigned to multivariate study. Pool host cell protein is expected to rise with protein load and as elution buffer pH falls, and the two may interact (</w:t>
      </w:r>
      <w:hyperlink w:anchor="sec-uo">
        <w:r>
          <w:rPr>
            <w:rStyle w:val="Hyperlink"/>
          </w:rPr>
          <w:t xml:space="preserve">Section 4.1</w:t>
        </w:r>
      </w:hyperlink>
      <w:r>
        <w:t xml:space="preserve">). Step yield is expected to fall as load flow rate rises and to rise with end of pool collect. Load flow rate is expected to interact with protein load, because a shorter residence time lowers the dynamic binding capacity and costs yield only when the load is close to it. A design that varies the four parameters together is needed to estimate these interactions.</w:t>
      </w:r>
    </w:p>
    <w:p>
      <w:pPr>
        <w:pStyle w:val="BodyText"/>
      </w:pPr>
      <w:r>
        <w:t xml:space="preserve">Operating temperature was assigned to univariate study. A higher temperature speeds the diffusion of the antibody into the pores, which raises the dynamic binding capacity, and it strengthens the hydrophobic contacts at the Fc–ligand interface, which makes elution slightly less complete. A lower temperature acts the opposite way on both. Because temperature acts on the dynamic binding capacity, it could interact with protein load in the same way as load flow rate does. Over the range studied, however, its effect on binding capacity is expected to be small against that of residence time, and the resin manufacturer specifies binding capacity across that range. An interaction of temperature with protein load is therefore expected to be small, and on that basis temperature is studied one factor at a time. The univariate study runs at the set-point load, so an interaction of temperature with a high load is not estimated (</w:t>
      </w:r>
      <w:hyperlink w:anchor="sec-univariate">
        <w:r>
          <w:rPr>
            <w:rStyle w:val="Hyperlink"/>
          </w:rPr>
          <w:t xml:space="preserve">Section 6.4</w:t>
        </w:r>
      </w:hyperlink>
      <w:r>
        <w:t xml:space="preserve">).</w:t>
      </w:r>
    </w:p>
    <w:p>
      <w:pPr>
        <w:pStyle w:val="BodyText"/>
      </w:pPr>
      <w:r>
        <w:t xml:space="preserve">Bed height was also assigned to univariate study, although it too can interact with protein load. At constant linear velocity bed height sets the residence time, and a shorter residence time lowers the dynamic binding capacity (</w:t>
      </w:r>
      <w:hyperlink w:anchor="sec-uo">
        <w:r>
          <w:rPr>
            <w:rStyle w:val="Hyperlink"/>
          </w:rPr>
          <w:t xml:space="preserve">Section 4.1</w:t>
        </w:r>
      </w:hyperlink>
      <w:r>
        <w:t xml:space="preserve">). The designs study the interaction of residence time with protein load through load flow rate, at the set-point bed height. Bed height itself is fixed for each packed column by the packing specification and does not vary from run to run in manufacture, so it is studied one factor at a time. The shortest bed of the range, 10 cm at the set-point velocity, gives a residence time of 3 min, shorter than any run of the designs. A short bed combined with a high protein load, where breakthrough is most likely, is therefore not studied, and no claim is made for it.</w:t>
      </w:r>
    </w:p>
    <w:bookmarkEnd w:id="33"/>
    <w:bookmarkEnd w:id="34"/>
    <w:bookmarkStart w:id="42" w:name="sec-methods"/>
    <w:p>
      <w:pPr>
        <w:pStyle w:val="Heading1"/>
      </w:pPr>
      <w:r>
        <w:t xml:space="preserve">5. Materials and methods</w:t>
      </w:r>
    </w:p>
    <w:bookmarkStart w:id="35" w:name="sec-sdm"/>
    <w:p>
      <w:pPr>
        <w:pStyle w:val="Heading2"/>
      </w:pPr>
      <w:r>
        <w:t xml:space="preserve">5.1 Scale-down model and its qualification</w:t>
      </w:r>
    </w:p>
    <w:p>
      <w:pPr>
        <w:pStyle w:val="FirstParagraph"/>
      </w:pPr>
      <w:r>
        <w:t xml:space="preserve">The scale-down model is a laboratory column packed with the commercial Protein A resin. It is designed on the scaling principles that PCMP-001 sets for scale-down models. The bed height and the residence time of the commercial column are kept. Load, wash and elution volumes are normalized to column volumes, and column efficiency is checked by plate count and peak asymmetry after packing. Buffers are made to the commercial recipes. The model is operated at the set-point of every parameter of</w:t>
      </w:r>
      <w:r>
        <w:t xml:space="preserve"> </w:t>
      </w:r>
      <w:hyperlink w:anchor="tbl-params">
        <w:r>
          <w:rPr>
            <w:rStyle w:val="Hyperlink"/>
          </w:rPr>
          <w:t xml:space="preserve">Table 7</w:t>
        </w:r>
      </w:hyperlink>
      <w:r>
        <w:t xml:space="preserve"> </w:t>
      </w:r>
      <w:r>
        <w:t xml:space="preserve">unless a design sets it otherwise.</w:t>
      </w:r>
    </w:p>
    <w:p>
      <w:pPr>
        <w:pStyle w:val="BodyText"/>
      </w:pPr>
      <w:r>
        <w:t xml:space="preserve">The qualification runs are made under the scale-down model qualification procedure SOP-1001 in study S-PA-SDM, before the first run of the screening design, and they give the offset of each quantity the qualification compares. Whether the model is qualified for an output is decided at analysis, because the decision needs the response-surface model of the step. In that study, 3 runs of the model at set-point are compared with 5 manufacturing-scale batches of A-Mab run at set-point. The quantities compared are pool host cell protein, leached Protein A, step yield and column efficiency (plate count and peak asymmetry).</w:t>
      </w:r>
    </w:p>
    <w:p>
      <w:pPr>
        <w:pStyle w:val="BodyText"/>
      </w:pPr>
      <w:r>
        <w:t xml:space="preserve">The model is qualified by the rule that PCMP-001 sets for scale-down model qualification, which judges the model by its offset from manufacturing scale. The scale-down model need not reproduce the manufacturing mean, but the difference between the two scales must be known well enough that no conclusion depends on its exact size. The offset of a quantity is the mean of the scale-down runs minus the mean of the manufacturing-scale batches. It is estimated with its two-sided 90 % confidence interval, each end of which is a one-sided 95 % confidence bound, the level used to compare two means at 5 % on each side. For a quantity that is compared at both scales and has a criterion, each scale-down result is translated to manufacturing scale by subtracting the offset before it is judged. The model is qualified for such a quantity when its conclusion over the NOR is the same with the offset at either end of the confidence interval. That conclusion is whether the Protein A pool meets the criterion at every combination of NOR low, set-point and NOR high of the 4 response-surface factors. A model whose conclusion for a quantity changes between the two ends of the interval is not used for that quantity.</w:t>
      </w:r>
    </w:p>
    <w:p>
      <w:pPr>
        <w:pStyle w:val="BodyText"/>
      </w:pPr>
      <w:r>
        <w:t xml:space="preserve">For this step the rule applies as follows.</w:t>
      </w:r>
    </w:p>
    <w:p>
      <w:pPr>
        <w:pStyle w:val="Compact"/>
        <w:numPr>
          <w:ilvl w:val="0"/>
          <w:numId w:val="1004"/>
        </w:numPr>
      </w:pPr>
      <w:r>
        <w:t xml:space="preserve">Pool host cell protein and leached Protein A have a criterion at the step (</w:t>
      </w:r>
      <w:hyperlink w:anchor="tbl-outcrit">
        <w:r>
          <w:rPr>
            <w:rStyle w:val="Hyperlink"/>
          </w:rPr>
          <w:t xml:space="preserve">Table 9</w:t>
        </w:r>
      </w:hyperlink>
      <w:r>
        <w:t xml:space="preserve">). Their offsets are subtracted before each result is judged, and the model is qualified or not for each of them by the rule above.</w:t>
      </w:r>
    </w:p>
    <w:p>
      <w:pPr>
        <w:pStyle w:val="Compact"/>
        <w:numPr>
          <w:ilvl w:val="0"/>
          <w:numId w:val="1004"/>
        </w:numPr>
      </w:pPr>
      <w:r>
        <w:t xml:space="preserve">Step yield and column efficiency have no criterion at the step. Their offsets are recorded in PCR-005, and no conclusion depends on them.</w:t>
      </w:r>
    </w:p>
    <w:p>
      <w:pPr>
        <w:pStyle w:val="Compact"/>
        <w:numPr>
          <w:ilvl w:val="0"/>
          <w:numId w:val="1004"/>
        </w:numPr>
      </w:pPr>
      <w:r>
        <w:t xml:space="preserve">Fragments are not measured in the qualification. AMD-001 was taken on 2026-03-20, after the scale-down model qualification S-PA-SDM had closed on 2025-11-14. The qualification therefore has no fragment result at either scale, and fragments carry no offset. They are judged as the response-surface model predicts them.</w:t>
      </w:r>
    </w:p>
    <w:p>
      <w:pPr>
        <w:pStyle w:val="FirstParagraph"/>
      </w:pPr>
      <w:r>
        <w:t xml:space="preserve">Leached Protein A is expected to be lower in the laboratory column than at manufacturing scale. The manufacturing load is held longer before capture, so it is expected to cleave more ligand from the resin (</w:t>
      </w:r>
      <w:hyperlink w:anchor="sec-uo">
        <w:r>
          <w:rPr>
            <w:rStyle w:val="Hyperlink"/>
          </w:rPr>
          <w:t xml:space="preserve">Section 4.1</w:t>
        </w:r>
      </w:hyperlink>
      <w:r>
        <w:t xml:space="preserve">, item 3). This difference is the offset of leached Protein A, and it is subtracted as every offset is. Where the cause of an offset is known, PCMP-001 asks the report to state it.</w:t>
      </w:r>
    </w:p>
    <w:p>
      <w:pPr>
        <w:pStyle w:val="BodyText"/>
      </w:pPr>
      <w:r>
        <w:t xml:space="preserve">Fragment results from the scale-down model are accepted on mechanism. The capture of Fc-bearing species depends on bed height and residence time, which the model keeps at their commercial values. The low-pH hinge hydrolysis depends on pH, time at low pH and temperature, and the model uses the commercial elution buffer at the same temperature and the same residence time. The plan has no fragment result at manufacturing scale with which to confirm the mechanism directly. The confirmation it relies on is indirect. The qualification compares the plate count and peak asymmetry of the laboratory column with those of the commercial column, which shows whether the laboratory bed behaves as the commercial bed does. PCR-005 tabulates the offsets of this step, and PCMR-001 summarises the offsets of the whole train.</w:t>
      </w:r>
    </w:p>
    <w:bookmarkEnd w:id="35"/>
    <w:bookmarkStart w:id="36" w:name="sec-operation"/>
    <w:p>
      <w:pPr>
        <w:pStyle w:val="Heading2"/>
      </w:pPr>
      <w:r>
        <w:t xml:space="preserve">5.2 Operation</w:t>
      </w:r>
    </w:p>
    <w:p>
      <w:pPr>
        <w:pStyle w:val="FirstParagraph"/>
      </w:pPr>
      <w:r>
        <w:t xml:space="preserve">Each run follows the Protein A operating procedure SOP-2007 at laboratory scale. The column is equilibrated, loaded with clarified harvest to the target protein load, washed and eluted with the elution buffer at the pH set by the design. The eluate is collected from the rise of the absorbance at 280 nm until the end of pool collect set by the design, expressed in column volumes. The column is then stripped, cleaned and stored as the resin life-cycle procedure SOP-2008 specifies. The pool is not neutralized, because the commercial eluate passes to low-pH viral inactivation at elution pH.</w:t>
      </w:r>
    </w:p>
    <w:p>
      <w:pPr>
        <w:pStyle w:val="BodyText"/>
      </w:pPr>
      <w:r>
        <w:t xml:space="preserve">Each design is loaded from one pool of clarified harvest produced at set-point conditions and held frozen in aliquots. A single feed keeps feed variation out of the estimated effects. The effect of feed quality on the step is therefore not estimated in this plan. Runs are executed in random order within each design.</w:t>
      </w:r>
    </w:p>
    <w:bookmarkEnd w:id="36"/>
    <w:bookmarkStart w:id="39" w:name="sec-analytics"/>
    <w:p>
      <w:pPr>
        <w:pStyle w:val="Heading2"/>
      </w:pPr>
      <w:r>
        <w:t xml:space="preserve">5.3 Analytical methods</w:t>
      </w:r>
    </w:p>
    <w:p>
      <w:pPr>
        <w:pStyle w:val="FirstParagraph"/>
      </w:pPr>
      <w:r>
        <w:t xml:space="preserve">Each response is measured by a validated method under its own AMV.</w:t>
      </w:r>
      <w:r>
        <w:t xml:space="preserve"> </w:t>
      </w:r>
      <w:hyperlink w:anchor="tbl-methods">
        <w:r>
          <w:rPr>
            <w:rStyle w:val="Hyperlink"/>
          </w:rPr>
          <w:t xml:space="preserve">Table 5</w:t>
        </w:r>
      </w:hyperlink>
      <w:r>
        <w:t xml:space="preserve"> </w:t>
      </w:r>
      <w:r>
        <w:t xml:space="preserve">lists the methods, the samples on which each is run and the purpose of each measurement.</w:t>
      </w:r>
    </w:p>
    <w:tbl>
      <w:tblPr>
        <w:tblStyle w:val="Table"/>
        <w:tblW w:type="pct" w:w="5000"/>
        <w:tblLayout w:type="fixed"/>
        <w:tblLook w:firstRow="0" w:lastRow="0" w:firstColumn="0" w:lastColumn="0" w:noHBand="0" w:noVBand="0" w:val="0000"/>
      </w:tblPr>
      <w:tblGrid>
        <w:gridCol w:w="7920"/>
      </w:tblGrid>
      <w:tr>
        <w:tc>
          <w:tcPr/>
          <w:bookmarkStart w:id="37" w:name="tbl-methods"/>
          <w:p>
            <w:pPr>
              <w:jc w:val="center"/>
            </w:pPr>
            <w:pPr>
              <w:jc w:val="start"/>
              <w:spacing w:before="200"/>
              <w:pStyle w:val="ImageCaption"/>
            </w:pPr>
            <w:r>
              <w:t xml:space="preserve">Table 5: Analytical methods, samples and purpose of each measurement. The method validations are listed in the procedures table of Section 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Attribute</w:t>
                  </w:r>
                </w:p>
              </w:tc>
              <w:tc>
                <w:tcPr/>
                <w:p>
                  <w:pPr>
                    <w:pStyle w:val="Compact"/>
                    <w:jc w:val="center"/>
                  </w:pPr>
                  <w:r>
                    <w:t xml:space="preserve">Method</w:t>
                  </w:r>
                </w:p>
              </w:tc>
              <w:tc>
                <w:tcPr/>
                <w:p>
                  <w:pPr>
                    <w:pStyle w:val="Compact"/>
                    <w:jc w:val="center"/>
                  </w:pPr>
                  <w:r>
                    <w:t xml:space="preserve">Samples</w:t>
                  </w:r>
                </w:p>
              </w:tc>
              <w:tc>
                <w:tcPr/>
                <w:p>
                  <w:pPr>
                    <w:pStyle w:val="Compact"/>
                    <w:jc w:val="center"/>
                  </w:pPr>
                  <w:r>
                    <w:t xml:space="preserve">Purpose</w:t>
                  </w:r>
                </w:p>
              </w:tc>
            </w:tr>
            <w:tr>
              <w:tc>
                <w:tcPr/>
                <w:p>
                  <w:pPr>
                    <w:pStyle w:val="Compact"/>
                    <w:jc w:val="center"/>
                  </w:pPr>
                  <w:r>
                    <w:t xml:space="preserve">Pool host cell protein (ng/mg)</w:t>
                  </w:r>
                </w:p>
              </w:tc>
              <w:tc>
                <w:tcPr/>
                <w:p>
                  <w:pPr>
                    <w:pStyle w:val="Compact"/>
                    <w:jc w:val="center"/>
                  </w:pPr>
                  <w:r>
                    <w:t xml:space="preserve">Host-Cell Protein ELISA</w:t>
                  </w:r>
                </w:p>
              </w:tc>
              <w:tc>
                <w:tcPr/>
                <w:p>
                  <w:pPr>
                    <w:pStyle w:val="Compact"/>
                    <w:jc w:val="center"/>
                  </w:pPr>
                  <w:r>
                    <w:t xml:space="preserve">Load and pool of every run</w:t>
                  </w:r>
                </w:p>
              </w:tc>
              <w:tc>
                <w:tcPr/>
                <w:p>
                  <w:pPr>
                    <w:pStyle w:val="Compact"/>
                    <w:jc w:val="center"/>
                  </w:pPr>
                  <w:r>
                    <w:t xml:space="preserve">Response of both designs</w:t>
                  </w:r>
                </w:p>
              </w:tc>
            </w:tr>
            <w:tr>
              <w:tc>
                <w:tcPr/>
                <w:p>
                  <w:pPr>
                    <w:pStyle w:val="Compact"/>
                    <w:jc w:val="center"/>
                  </w:pPr>
                  <w:r>
                    <w:t xml:space="preserve">Leached Protein A (ppm)</w:t>
                  </w:r>
                </w:p>
              </w:tc>
              <w:tc>
                <w:tcPr/>
                <w:p>
                  <w:pPr>
                    <w:pStyle w:val="Compact"/>
                    <w:jc w:val="center"/>
                  </w:pPr>
                  <w:r>
                    <w:t xml:space="preserve">Leached Protein A by ELISA (ppm)</w:t>
                  </w:r>
                </w:p>
              </w:tc>
              <w:tc>
                <w:tcPr/>
                <w:p>
                  <w:pPr>
                    <w:pStyle w:val="Compact"/>
                    <w:jc w:val="center"/>
                  </w:pPr>
                  <w:r>
                    <w:t xml:space="preserve">Pool of every run</w:t>
                  </w:r>
                </w:p>
              </w:tc>
              <w:tc>
                <w:tcPr/>
                <w:p>
                  <w:pPr>
                    <w:pStyle w:val="Compact"/>
                    <w:jc w:val="center"/>
                  </w:pPr>
                  <w:r>
                    <w:t xml:space="preserve">Response of both designs</w:t>
                  </w:r>
                </w:p>
              </w:tc>
            </w:tr>
            <w:tr>
              <w:tc>
                <w:tcPr/>
                <w:p>
                  <w:pPr>
                    <w:pStyle w:val="Compact"/>
                    <w:jc w:val="center"/>
                  </w:pPr>
                  <w:r>
                    <w:t xml:space="preserve">Step yield</w:t>
                  </w:r>
                </w:p>
              </w:tc>
              <w:tc>
                <w:tcPr/>
                <w:p>
                  <w:pPr>
                    <w:pStyle w:val="Compact"/>
                    <w:jc w:val="center"/>
                  </w:pPr>
                  <w:r>
                    <w:t xml:space="preserve">Protein Concentration by A280 (UV)</w:t>
                  </w:r>
                </w:p>
              </w:tc>
              <w:tc>
                <w:tcPr/>
                <w:p>
                  <w:pPr>
                    <w:pStyle w:val="Compact"/>
                    <w:jc w:val="center"/>
                  </w:pPr>
                  <w:r>
                    <w:t xml:space="preserve">Load and pool of every run</w:t>
                  </w:r>
                </w:p>
              </w:tc>
              <w:tc>
                <w:tcPr/>
                <w:p>
                  <w:pPr>
                    <w:pStyle w:val="Compact"/>
                    <w:jc w:val="center"/>
                  </w:pPr>
                  <w:r>
                    <w:t xml:space="preserve">Response of both designs</w:t>
                  </w:r>
                </w:p>
              </w:tc>
            </w:tr>
            <w:tr>
              <w:tc>
                <w:tcPr>
                  <w:vMerge w:val="restart"/>
                </w:tcPr>
                <w:p>
                  <w:pPr>
                    <w:pStyle w:val="Compact"/>
                    <w:jc w:val="center"/>
                  </w:pPr>
                  <w:r>
                    <w:t xml:space="preserve">Fragments, LMW (%)</w:t>
                  </w:r>
                </w:p>
              </w:tc>
              <w:tc>
                <w:tcPr/>
                <w:p>
                  <w:pPr>
                    <w:pStyle w:val="Compact"/>
                    <w:jc w:val="center"/>
                  </w:pPr>
                  <w:r>
                    <w:t xml:space="preserve">Purity (non-reduced CE-SDS)</w:t>
                  </w:r>
                </w:p>
              </w:tc>
              <w:tc>
                <w:tcPr/>
                <w:p>
                  <w:pPr>
                    <w:pStyle w:val="Compact"/>
                    <w:jc w:val="center"/>
                  </w:pPr>
                  <w:r>
                    <w:t xml:space="preserve">Retained pools of the response-surface design</w:t>
                  </w:r>
                </w:p>
              </w:tc>
              <w:tc>
                <w:tcPr/>
                <w:p>
                  <w:pPr>
                    <w:pStyle w:val="Compact"/>
                    <w:jc w:val="center"/>
                  </w:pPr>
                  <w:r>
                    <w:t xml:space="preserve">Response of the response-surface design</w:t>
                  </w:r>
                </w:p>
              </w:tc>
            </w:tr>
            <w:tr>
              <w:tc>
                <w:tcPr>
                  <w:gridSpan w:val="1"/>
                  <w:vMerge w:val="continue"/>
                </w:tcPr>
                <w:p>
                  <w:pPr/>
                </w:p>
              </w:tc>
              <w:tc>
                <w:tcPr/>
                <w:p>
                  <w:pPr>
                    <w:pStyle w:val="Compact"/>
                    <w:jc w:val="center"/>
                  </w:pPr>
                  <w:r>
                    <w:t xml:space="preserve">Size-Variants (SEC-HPLC)</w:t>
                  </w:r>
                </w:p>
              </w:tc>
              <w:tc>
                <w:tcPr/>
                <w:p>
                  <w:pPr>
                    <w:pStyle w:val="Compact"/>
                    <w:jc w:val="center"/>
                  </w:pPr>
                  <w:r>
                    <w:t xml:space="preserve">Pool of every run of both designs</w:t>
                  </w:r>
                </w:p>
              </w:tc>
              <w:tc>
                <w:tcPr/>
                <w:p>
                  <w:pPr>
                    <w:pStyle w:val="Compact"/>
                    <w:jc w:val="center"/>
                  </w:pPr>
                  <w:r>
                    <w:t xml:space="preserve">For information only</w:t>
                  </w:r>
                </w:p>
              </w:tc>
            </w:tr>
            <w:tr>
              <w:tc>
                <w:tcPr/>
                <w:p>
                  <w:pPr>
                    <w:pStyle w:val="Compact"/>
                    <w:jc w:val="center"/>
                  </w:pPr>
                  <w:r>
                    <w:t xml:space="preserve">Aggregates, HMW (%)</w:t>
                  </w:r>
                </w:p>
              </w:tc>
              <w:tc>
                <w:tcPr/>
                <w:p>
                  <w:pPr>
                    <w:pStyle w:val="Compact"/>
                    <w:jc w:val="center"/>
                  </w:pPr>
                  <w:r>
                    <w:t xml:space="preserve">Size-Variants (SEC-HPLC)</w:t>
                  </w:r>
                </w:p>
              </w:tc>
              <w:tc>
                <w:tcPr/>
                <w:p>
                  <w:pPr>
                    <w:pStyle w:val="Compact"/>
                    <w:jc w:val="center"/>
                  </w:pPr>
                  <w:r>
                    <w:t xml:space="preserve">Pool of every run</w:t>
                  </w:r>
                </w:p>
              </w:tc>
              <w:tc>
                <w:tcPr/>
                <w:p>
                  <w:pPr>
                    <w:pStyle w:val="Compact"/>
                    <w:jc w:val="center"/>
                  </w:pPr>
                  <w:r>
                    <w:t xml:space="preserve">For information only</w:t>
                  </w:r>
                </w:p>
              </w:tc>
            </w:tr>
            <w:tr>
              <w:tc>
                <w:tcPr/>
                <w:p>
                  <w:pPr>
                    <w:pStyle w:val="Compact"/>
                    <w:jc w:val="center"/>
                  </w:pPr>
                  <w:r>
                    <w:t xml:space="preserve">Residual DNA</w:t>
                  </w:r>
                </w:p>
              </w:tc>
              <w:tc>
                <w:tcPr/>
                <w:p>
                  <w:pPr>
                    <w:pStyle w:val="Compact"/>
                    <w:jc w:val="center"/>
                  </w:pPr>
                  <w:r>
                    <w:t xml:space="preserve">Residual DNA (qPCR)</w:t>
                  </w:r>
                </w:p>
              </w:tc>
              <w:tc>
                <w:tcPr/>
                <w:p>
                  <w:pPr>
                    <w:pStyle w:val="Compact"/>
                    <w:jc w:val="center"/>
                  </w:pPr>
                  <w:r>
                    <w:t xml:space="preserve">Load and pool of the centre-point runs</w:t>
                  </w:r>
                </w:p>
              </w:tc>
              <w:tc>
                <w:tcPr/>
                <w:p>
                  <w:pPr>
                    <w:pStyle w:val="Compact"/>
                    <w:jc w:val="center"/>
                  </w:pPr>
                  <w:r>
                    <w:t xml:space="preserve">For information only</w:t>
                  </w:r>
                </w:p>
              </w:tc>
            </w:tr>
          </w:tbl>
          <w:bookmarkEnd w:id="37"/>
          <w:p/>
        </w:tc>
      </w:tr>
    </w:tbl>
    <w:p>
      <w:pPr>
        <w:pStyle w:val="BodyText"/>
      </w:pPr>
      <w:r>
        <w:t xml:space="preserve">Pool host cell protein is reported per mass of antibody in the pool, so that it does not depend on how far the pool is diluted by the end of pool collect. Step yield is the mass of antibody in the pool divided by the mass loaded, both from the protein concentration by absorbance at 280 nm and the measured volumes.</w:t>
      </w:r>
    </w:p>
    <w:p>
      <w:pPr>
        <w:pStyle w:val="BodyText"/>
      </w:pPr>
      <w:r>
        <w:t xml:space="preserve">Fragments are measured by nrCE-SDS, which PCMP-001 sets as the method for fragments at every step. SEC is kept as the method for aggregate, because the co-eluting host cell protein falls in the low molecular weight window and not in the aggregate window. SEC fragment results are recorded for every run of both designs, but they are not used for any decision (</w:t>
      </w:r>
      <w:hyperlink w:anchor="sec-uo">
        <w:r>
          <w:rPr>
            <w:rStyle w:val="Hyperlink"/>
          </w:rPr>
          <w:t xml:space="preserve">Section 4.1</w:t>
        </w:r>
      </w:hyperlink>
      <w:r>
        <w:t xml:space="preserve">).</w:t>
      </w:r>
      <w:r>
        <w:t xml:space="preserve"> </w:t>
      </w:r>
      <w:hyperlink w:anchor="tbl-methods-by-study">
        <w:r>
          <w:rPr>
            <w:rStyle w:val="Hyperlink"/>
          </w:rPr>
          <w:t xml:space="preserve">Table 6</w:t>
        </w:r>
      </w:hyperlink>
      <w:r>
        <w:t xml:space="preserve"> </w:t>
      </w:r>
      <w:r>
        <w:t xml:space="preserve">shows which method measured fragments in each designed study of the step.</w:t>
      </w:r>
    </w:p>
    <w:tbl>
      <w:tblPr>
        <w:tblStyle w:val="Table"/>
        <w:tblW w:type="pct" w:w="5000"/>
        <w:tblLayout w:type="fixed"/>
        <w:tblLook w:firstRow="0" w:lastRow="0" w:firstColumn="0" w:lastColumn="0" w:noHBand="0" w:noVBand="0" w:val="0000"/>
      </w:tblPr>
      <w:tblGrid>
        <w:gridCol w:w="7920"/>
      </w:tblGrid>
      <w:tr>
        <w:tc>
          <w:tcPr/>
          <w:bookmarkStart w:id="38" w:name="tbl-methods-by-study"/>
          <w:p>
            <w:pPr>
              <w:jc w:val="center"/>
            </w:pPr>
            <w:pPr>
              <w:jc w:val="start"/>
              <w:spacing w:before="200"/>
              <w:pStyle w:val="ImageCaption"/>
            </w:pPr>
            <w:r>
              <w:t xml:space="preserve">Table 6: Methods used for size variants in the designed studies, Protein A.</w:t>
            </w:r>
          </w:p>
          <w:tbl>
            <w:tblPr>
              <w:tblStyle w:val="Table"/>
              <w:tblW w:type="auto" w:w="0"/>
              <w:tblLook w:firstRow="1" w:lastRow="1" w:firstColumn="0" w:lastColumn="0" w:noHBand="0" w:noVBand="0" w:val="0020"/>
            </w:tblPr>
            <w:tblGrid>
              <w:gridCol w:w="2640"/>
              <w:gridCol w:w="2640"/>
              <w:gridCol w:w="2640"/>
            </w:tblGrid>
            <w:tr>
              <w:trPr>
                <w:tblHeader w:val="on"/>
              </w:trPr>
              <w:tc>
                <w:tcPr>
                  <w:vMerge w:val="restart"/>
                </w:tcPr>
                <w:p>
                  <w:pPr>
                    <w:pStyle w:val="Compact"/>
                    <w:jc w:val="center"/>
                  </w:pPr>
                  <w:r>
                    <w:t xml:space="preserve">Attribute</w:t>
                  </w:r>
                </w:p>
              </w:tc>
              <w:tc>
                <w:tcPr>
                  <w:gridSpan w:val="2"/>
                </w:tcPr>
                <w:p>
                  <w:pPr>
                    <w:pStyle w:val="Compact"/>
                    <w:jc w:val="center"/>
                  </w:pPr>
                  <w:r>
                    <w:t xml:space="preserve">Method used in study</w:t>
                  </w:r>
                </w:p>
              </w:tc>
            </w:tr>
            <w:tr>
              <w:trPr>
                <w:tblHeader w:val="on"/>
              </w:trPr>
              <w:tc>
                <w:tcPr>
                  <w:gridSpan w:val="1"/>
                  <w:vMerge w:val="continue"/>
                </w:tcPr>
                <w:p>
                  <w:pPr/>
                </w:p>
              </w:tc>
              <w:tc>
                <w:tcPr/>
                <w:p>
                  <w:pPr>
                    <w:pStyle w:val="Compact"/>
                    <w:jc w:val="center"/>
                  </w:pPr>
                  <w:r>
                    <w:t xml:space="preserve">Screening</w:t>
                  </w:r>
                </w:p>
              </w:tc>
              <w:tc>
                <w:tcPr/>
                <w:p>
                  <w:pPr>
                    <w:pStyle w:val="Compact"/>
                    <w:jc w:val="center"/>
                  </w:pPr>
                  <w:r>
                    <w:t xml:space="preserve">Response surface</w:t>
                  </w:r>
                </w:p>
              </w:tc>
            </w:tr>
            <w:tr>
              <w:tc>
                <w:tcPr/>
                <w:p>
                  <w:pPr>
                    <w:pStyle w:val="Compact"/>
                    <w:jc w:val="center"/>
                  </w:pPr>
                  <w:r>
                    <w:t xml:space="preserve">Aggregates, HMW</w:t>
                  </w:r>
                </w:p>
              </w:tc>
              <w:tc>
                <w:tcPr>
                  <w:gridSpan w:val="2"/>
                </w:tcPr>
                <w:p>
                  <w:pPr>
                    <w:pStyle w:val="Compact"/>
                    <w:jc w:val="center"/>
                  </w:pPr>
                  <w:r>
                    <w:t xml:space="preserve">SEC</w:t>
                  </w:r>
                </w:p>
              </w:tc>
            </w:tr>
            <w:tr>
              <w:tc>
                <w:tcPr/>
                <w:p>
                  <w:pPr>
                    <w:pStyle w:val="Compact"/>
                    <w:jc w:val="center"/>
                  </w:pPr>
                  <w:r>
                    <w:t xml:space="preserve">Fragments, LMW</w:t>
                  </w:r>
                </w:p>
              </w:tc>
              <w:tc>
                <w:tcPr/>
                <w:p>
                  <w:pPr>
                    <w:pStyle w:val="Compact"/>
                    <w:jc w:val="center"/>
                  </w:pPr>
                  <w:r>
                    <w:t xml:space="preserve">SEC</w:t>
                  </w:r>
                  <w:r>
                    <w:rPr>
                      <w:vertAlign w:val="superscript"/>
                    </w:rPr>
                    <w:t xml:space="preserve">a)</w:t>
                  </w:r>
                </w:p>
              </w:tc>
              <w:tc>
                <w:tcPr/>
                <w:p>
                  <w:pPr>
                    <w:pStyle w:val="Compact"/>
                    <w:jc w:val="center"/>
                  </w:pPr>
                  <w:r>
                    <w:t xml:space="preserve">SEC</w:t>
                  </w:r>
                  <w:r>
                    <w:rPr>
                      <w:vertAlign w:val="superscript"/>
                    </w:rPr>
                    <w:t xml:space="preserve">a)</w:t>
                  </w:r>
                  <w:r>
                    <w:t xml:space="preserve">, nrCE-SDS</w:t>
                  </w:r>
                  <w:r>
                    <w:rPr>
                      <w:vertAlign w:val="superscript"/>
                    </w:rPr>
                    <w:t xml:space="preserve">b)</w:t>
                  </w:r>
                </w:p>
              </w:tc>
            </w:tr>
            <w:tr>
              <w:tc>
                <w:tcPr>
                  <w:gridSpan w:val="3"/>
                </w:tcPr>
                <w:p>
                  <w:pPr>
                    <w:pStyle w:val="Compact"/>
                    <w:jc w:val="center"/>
                  </w:pPr>
                  <w:r>
                    <w:rPr>
                      <w:vertAlign w:val="superscript"/>
                    </w:rPr>
                    <w:t xml:space="preserve">a)</w:t>
                  </w:r>
                  <w:r>
                    <w:t xml:space="preserve"> </w:t>
                  </w:r>
                  <w:r>
                    <w:t xml:space="preserve">In the Protein A and low-pH viral inactivation pools part of the host cell protein elutes in the SEC low molecular weight window. Reported for information only (AMD-001).</w:t>
                  </w:r>
                </w:p>
              </w:tc>
            </w:tr>
            <w:tr>
              <w:tc>
                <w:tcPr>
                  <w:gridSpan w:val="3"/>
                </w:tcPr>
                <w:p>
                  <w:pPr>
                    <w:pStyle w:val="Compact"/>
                    <w:jc w:val="center"/>
                  </w:pPr>
                  <w:r>
                    <w:rPr>
                      <w:vertAlign w:val="superscript"/>
                    </w:rPr>
                    <w:t xml:space="preserve">b)</w:t>
                  </w:r>
                  <w:r>
                    <w:t xml:space="preserve"> </w:t>
                  </w:r>
                  <w:r>
                    <w:t xml:space="preserve">Retained samples of the response-surface design, tested 2026-04-06 to 2026-04-17.</w:t>
                  </w:r>
                </w:p>
              </w:tc>
            </w:tr>
          </w:tbl>
          <w:bookmarkEnd w:id="38"/>
          <w:p/>
        </w:tc>
      </w:tr>
    </w:tbl>
    <w:bookmarkEnd w:id="39"/>
    <w:bookmarkStart w:id="40" w:name="sec-sampling"/>
    <w:p>
      <w:pPr>
        <w:pStyle w:val="Heading2"/>
      </w:pPr>
      <w:r>
        <w:t xml:space="preserve">5.4 Sampling plan</w:t>
      </w:r>
    </w:p>
    <w:p>
      <w:pPr>
        <w:pStyle w:val="FirstParagraph"/>
      </w:pPr>
      <w:r>
        <w:t xml:space="preserve">The load of each design is sampled once per feed aliquot thawed. The pool of every run is sampled once at the end of collection, after mixing, and its volume is recorded. Each pool sample is divided into aliquots for each method of</w:t>
      </w:r>
      <w:r>
        <w:t xml:space="preserve"> </w:t>
      </w:r>
      <w:hyperlink w:anchor="tbl-methods">
        <w:r>
          <w:rPr>
            <w:rStyle w:val="Hyperlink"/>
          </w:rPr>
          <w:t xml:space="preserve">Table 5</w:t>
        </w:r>
      </w:hyperlink>
      <w:r>
        <w:t xml:space="preserve">. One further aliquot of every pool of the response-surface design is retained frozen under the sample management procedure of Analytical Development, so that a method decided later can be applied to the same samples. The retained pools are the samples tested by nrCE-SDS in study S-PA-RET.</w:t>
      </w:r>
    </w:p>
    <w:p>
      <w:pPr>
        <w:pStyle w:val="BodyText"/>
      </w:pPr>
      <w:r>
        <w:t xml:space="preserve">Every sample is labelled with the study, the run number of the design and the sample point, and the chain of custody is recorded from sampling to result.</w:t>
      </w:r>
    </w:p>
    <w:bookmarkEnd w:id="40"/>
    <w:bookmarkStart w:id="41" w:name="sec-stats"/>
    <w:p>
      <w:pPr>
        <w:pStyle w:val="Heading2"/>
      </w:pPr>
      <w:r>
        <w:t xml:space="preserve">5.5 Statistical methods</w:t>
      </w:r>
    </w:p>
    <w:p>
      <w:pPr>
        <w:pStyle w:val="FirstParagraph"/>
      </w:pPr>
      <w:r>
        <w:t xml:space="preserve">The designs are built and analysed under the DoE procedure SOP-1002 with the common statistical approach of PCMP-001. Factors are coded from −1 to +1 over their range studied, with 0 at the centre. For each of the 4 design factors the centre of the range studied is the set-point, so the centre-point runs of both designs are set-point runs.</w:t>
      </w:r>
    </w:p>
    <w:p>
      <w:pPr>
        <w:pStyle w:val="BodyText"/>
      </w:pPr>
      <w:r>
        <w:t xml:space="preserve">The screening data are fitted with a model of main effects and two-factor interactions, which has 11 terms. Effects are reported as the change in the response over the coded range of the factor, which is twice the coefficient, and significance is judged at α = 0.05. The screening model identifies effects. A two-level design cannot resolve curvature, so the screening model is not used to predict between its corners.</w:t>
      </w:r>
    </w:p>
    <w:p>
      <w:pPr>
        <w:pStyle w:val="BodyText"/>
      </w:pPr>
      <w:r>
        <w:t xml:space="preserve">The response-surface data are fitted with a full quadratic model of 15 terms. The response-surface model is the predictive model of the step, and every prediction and every PAR in PCR-005 comes from it. Each fitted model is reported with R², adjusted R² and predicted R², the model F-test, and the test of lack of fit against pure error from the centre points. Residuals are plotted against predicted values, against run order and on a normal probability plot. A model that fails the lack-of-fit test or the limit on overfitting of</w:t>
      </w:r>
      <w:r>
        <w:t xml:space="preserve"> </w:t>
      </w:r>
      <w:hyperlink w:anchor="sec-criteria">
        <w:r>
          <w:rPr>
            <w:rStyle w:val="Hyperlink"/>
          </w:rPr>
          <w:t xml:space="preserve">Section 7</w:t>
        </w:r>
      </w:hyperlink>
      <w:r>
        <w:t xml:space="preserve"> </w:t>
      </w:r>
      <w:r>
        <w:t xml:space="preserve">is either refitted with a justified change of terms or transformation, or it is not used to set a range (PCMP-001, model adequacy). PCR-005 reports any such change with its reason.</w:t>
      </w:r>
    </w:p>
    <w:p>
      <w:pPr>
        <w:pStyle w:val="BodyText"/>
      </w:pPr>
      <w:r>
        <w:t xml:space="preserve">A prediction of pool host cell protein or leached Protein A is translated to manufacturing scale by subtracting the offset of that attribute before it is compared with a criterion (</w:t>
      </w:r>
      <w:hyperlink w:anchor="sec-sdm">
        <w:r>
          <w:rPr>
            <w:rStyle w:val="Hyperlink"/>
          </w:rPr>
          <w:t xml:space="preserve">Section 5.1</w:t>
        </w:r>
      </w:hyperlink>
      <w:r>
        <w:t xml:space="preserve">). The PAR analysis is described in</w:t>
      </w:r>
      <w:r>
        <w:t xml:space="preserve"> </w:t>
      </w:r>
      <w:hyperlink w:anchor="sec-par">
        <w:r>
          <w:rPr>
            <w:rStyle w:val="Hyperlink"/>
          </w:rPr>
          <w:t xml:space="preserve">Section 8</w:t>
        </w:r>
      </w:hyperlink>
      <w:r>
        <w:t xml:space="preserve">. Where no adequate model results for a response, that response is reported descriptively against its criterion over the runs of the design, and no PAR is claimed from it.</w:t>
      </w:r>
    </w:p>
    <w:bookmarkEnd w:id="41"/>
    <w:bookmarkEnd w:id="42"/>
    <w:bookmarkStart w:id="49" w:name="sec-design"/>
    <w:p>
      <w:pPr>
        <w:pStyle w:val="Heading1"/>
      </w:pPr>
      <w:r>
        <w:t xml:space="preserve">6. Study design</w:t>
      </w:r>
    </w:p>
    <w:bookmarkStart w:id="45" w:name="sec-factors"/>
    <w:p>
      <w:pPr>
        <w:pStyle w:val="Heading2"/>
      </w:pPr>
      <w:r>
        <w:t xml:space="preserve">6.1 Factors, ranges and study type</w:t>
      </w:r>
    </w:p>
    <w:p>
      <w:pPr>
        <w:pStyle w:val="FirstParagraph"/>
      </w:pPr>
      <w:hyperlink w:anchor="tbl-params">
        <w:r>
          <w:rPr>
            <w:rStyle w:val="Hyperlink"/>
          </w:rPr>
          <w:t xml:space="preserve">Table 7</w:t>
        </w:r>
      </w:hyperlink>
      <w:r>
        <w:t xml:space="preserve"> </w:t>
      </w:r>
      <w:r>
        <w:t xml:space="preserve">lists the parameters of the step with their set-point, the range to be studied, the NOR and the type of study. The classification of the parameters is an outcome of the studies. It is assigned in PCR-005 and is not stated in this plan.</w:t>
      </w:r>
    </w:p>
    <w:tbl>
      <w:tblPr>
        <w:tblStyle w:val="Table"/>
        <w:tblW w:type="pct" w:w="5000"/>
        <w:tblLayout w:type="fixed"/>
        <w:tblLook w:firstRow="0" w:lastRow="0" w:firstColumn="0" w:lastColumn="0" w:noHBand="0" w:noVBand="0" w:val="0000"/>
      </w:tblPr>
      <w:tblGrid>
        <w:gridCol w:w="7920"/>
      </w:tblGrid>
      <w:tr>
        <w:tc>
          <w:tcPr/>
          <w:bookmarkStart w:id="43" w:name="tbl-params"/>
          <w:p>
            <w:pPr>
              <w:jc w:val="center"/>
            </w:pPr>
            <w:pPr>
              <w:jc w:val="start"/>
              <w:spacing w:before="200"/>
              <w:pStyle w:val="ImageCaption"/>
            </w:pPr>
            <w:r>
              <w:t xml:space="preserve">Table 7: Parameters of the Protein A step to be studied, with set-point, range studied, NOR and study type.</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Range studied</w:t>
                  </w:r>
                </w:p>
              </w:tc>
              <w:tc>
                <w:tcPr/>
                <w:p>
                  <w:pPr>
                    <w:pStyle w:val="Compact"/>
                    <w:jc w:val="center"/>
                  </w:pPr>
                  <w:r>
                    <w:t xml:space="preserve">NOR</w:t>
                  </w:r>
                </w:p>
              </w:tc>
              <w:tc>
                <w:tcPr/>
                <w:p>
                  <w:pPr>
                    <w:pStyle w:val="Compact"/>
                    <w:jc w:val="center"/>
                  </w:pPr>
                  <w:r>
                    <w:t xml:space="preserve">Study type</w:t>
                  </w:r>
                </w:p>
              </w:tc>
            </w:tr>
            <w:tr>
              <w:tc>
                <w:tcPr/>
                <w:p>
                  <w:pPr>
                    <w:pStyle w:val="Compact"/>
                    <w:jc w:val="center"/>
                  </w:pPr>
                  <w:r>
                    <w:t xml:space="preserve">Protein load</w:t>
                  </w:r>
                </w:p>
              </w:tc>
              <w:tc>
                <w:tcPr/>
                <w:p>
                  <w:pPr>
                    <w:pStyle w:val="Compact"/>
                    <w:jc w:val="center"/>
                  </w:pPr>
                  <w:r>
                    <w:t xml:space="preserve">g/L resin</w:t>
                  </w:r>
                </w:p>
              </w:tc>
              <w:tc>
                <w:tcPr/>
                <w:p>
                  <w:pPr>
                    <w:pStyle w:val="Compact"/>
                    <w:jc w:val="center"/>
                  </w:pPr>
                  <w:r>
                    <w:t xml:space="preserve">30</w:t>
                  </w:r>
                </w:p>
              </w:tc>
              <w:tc>
                <w:tcPr/>
                <w:p>
                  <w:pPr>
                    <w:pStyle w:val="Compact"/>
                    <w:jc w:val="center"/>
                  </w:pPr>
                  <w:r>
                    <w:t xml:space="preserve">10–50</w:t>
                  </w:r>
                </w:p>
              </w:tc>
              <w:tc>
                <w:tcPr/>
                <w:p>
                  <w:pPr>
                    <w:pStyle w:val="Compact"/>
                    <w:jc w:val="center"/>
                  </w:pPr>
                  <w:r>
                    <w:t xml:space="preserve">20–40</w:t>
                  </w:r>
                  <w:r>
                    <w:rPr>
                      <w:vertAlign w:val="superscript"/>
                    </w:rPr>
                    <w:t xml:space="preserve">a)</w:t>
                  </w:r>
                </w:p>
              </w:tc>
              <w:tc>
                <w:tcPr/>
                <w:p>
                  <w:pPr>
                    <w:pStyle w:val="Compact"/>
                    <w:jc w:val="center"/>
                  </w:pPr>
                  <w:r>
                    <w:t xml:space="preserve">multivariate</w:t>
                  </w:r>
                </w:p>
              </w:tc>
            </w:tr>
            <w:tr>
              <w:tc>
                <w:tcPr/>
                <w:p>
                  <w:pPr>
                    <w:pStyle w:val="Compact"/>
                    <w:jc w:val="center"/>
                  </w:pPr>
                  <w:r>
                    <w:t xml:space="preserve">Elution buffer pH</w:t>
                  </w:r>
                </w:p>
              </w:tc>
              <w:tc>
                <w:tcPr/>
                <w:p>
                  <w:pPr>
                    <w:pStyle w:val="Compact"/>
                    <w:jc w:val="center"/>
                  </w:pPr>
                  <w:r>
                    <w:t xml:space="preserve">pH</w:t>
                  </w:r>
                </w:p>
              </w:tc>
              <w:tc>
                <w:tcPr/>
                <w:p>
                  <w:pPr>
                    <w:pStyle w:val="Compact"/>
                    <w:jc w:val="center"/>
                  </w:pPr>
                  <w:r>
                    <w:t xml:space="preserve">3.55</w:t>
                  </w:r>
                </w:p>
              </w:tc>
              <w:tc>
                <w:tcPr/>
                <w:p>
                  <w:pPr>
                    <w:pStyle w:val="Compact"/>
                    <w:jc w:val="center"/>
                  </w:pPr>
                  <w:r>
                    <w:t xml:space="preserve">3.2–3.9</w:t>
                  </w:r>
                </w:p>
              </w:tc>
              <w:tc>
                <w:tcPr/>
                <w:p>
                  <w:pPr>
                    <w:pStyle w:val="Compact"/>
                    <w:jc w:val="center"/>
                  </w:pPr>
                  <w:r>
                    <w:t xml:space="preserve">3.4–3.7</w:t>
                  </w:r>
                </w:p>
              </w:tc>
              <w:tc>
                <w:tcPr/>
                <w:p>
                  <w:pPr>
                    <w:pStyle w:val="Compact"/>
                    <w:jc w:val="center"/>
                  </w:pPr>
                  <w:r>
                    <w:t xml:space="preserve">multivariate</w:t>
                  </w:r>
                </w:p>
              </w:tc>
            </w:tr>
            <w:tr>
              <w:tc>
                <w:tcPr/>
                <w:p>
                  <w:pPr>
                    <w:pStyle w:val="Compact"/>
                    <w:jc w:val="center"/>
                  </w:pPr>
                  <w:r>
                    <w:t xml:space="preserve">Load flow rate</w:t>
                  </w:r>
                </w:p>
              </w:tc>
              <w:tc>
                <w:tcPr/>
                <w:p>
                  <w:pPr>
                    <w:pStyle w:val="Compact"/>
                    <w:jc w:val="center"/>
                  </w:pPr>
                  <w:r>
                    <w:t xml:space="preserve">cm/hr</w:t>
                  </w:r>
                </w:p>
              </w:tc>
              <w:tc>
                <w:tcPr/>
                <w:p>
                  <w:pPr>
                    <w:pStyle w:val="Compact"/>
                    <w:jc w:val="center"/>
                  </w:pPr>
                  <w:r>
                    <w:t xml:space="preserve">200</w:t>
                  </w:r>
                </w:p>
              </w:tc>
              <w:tc>
                <w:tcPr/>
                <w:p>
                  <w:pPr>
                    <w:pStyle w:val="Compact"/>
                    <w:jc w:val="center"/>
                  </w:pPr>
                  <w:r>
                    <w:t xml:space="preserve">100–300</w:t>
                  </w:r>
                </w:p>
              </w:tc>
              <w:tc>
                <w:tcPr/>
                <w:p>
                  <w:pPr>
                    <w:pStyle w:val="Compact"/>
                    <w:jc w:val="center"/>
                  </w:pPr>
                  <w:r>
                    <w:t xml:space="preserve">150–250</w:t>
                  </w:r>
                </w:p>
              </w:tc>
              <w:tc>
                <w:tcPr/>
                <w:p>
                  <w:pPr>
                    <w:pStyle w:val="Compact"/>
                    <w:jc w:val="center"/>
                  </w:pPr>
                  <w:r>
                    <w:t xml:space="preserve">multivariate</w:t>
                  </w:r>
                </w:p>
              </w:tc>
            </w:tr>
            <w:tr>
              <w:tc>
                <w:tcPr/>
                <w:p>
                  <w:pPr>
                    <w:pStyle w:val="Compact"/>
                    <w:jc w:val="center"/>
                  </w:pPr>
                  <w:r>
                    <w:t xml:space="preserve">End of pool collect</w:t>
                  </w:r>
                </w:p>
              </w:tc>
              <w:tc>
                <w:tcPr/>
                <w:p>
                  <w:pPr>
                    <w:pStyle w:val="Compact"/>
                    <w:jc w:val="center"/>
                  </w:pPr>
                  <w:r>
                    <w:t xml:space="preserve">CV</w:t>
                  </w:r>
                </w:p>
              </w:tc>
              <w:tc>
                <w:tcPr/>
                <w:p>
                  <w:pPr>
                    <w:pStyle w:val="Compact"/>
                    <w:jc w:val="center"/>
                  </w:pPr>
                  <w:r>
                    <w:t xml:space="preserve">2.6</w:t>
                  </w:r>
                </w:p>
              </w:tc>
              <w:tc>
                <w:tcPr/>
                <w:p>
                  <w:pPr>
                    <w:pStyle w:val="Compact"/>
                    <w:jc w:val="center"/>
                  </w:pPr>
                  <w:r>
                    <w:t xml:space="preserve">2–3.2</w:t>
                  </w:r>
                </w:p>
              </w:tc>
              <w:tc>
                <w:tcPr/>
                <w:p>
                  <w:pPr>
                    <w:pStyle w:val="Compact"/>
                    <w:jc w:val="center"/>
                  </w:pPr>
                  <w:r>
                    <w:t xml:space="preserve">2.3–2.9</w:t>
                  </w:r>
                </w:p>
              </w:tc>
              <w:tc>
                <w:tcPr/>
                <w:p>
                  <w:pPr>
                    <w:pStyle w:val="Compact"/>
                    <w:jc w:val="center"/>
                  </w:pPr>
                  <w:r>
                    <w:t xml:space="preserve">multivariate</w:t>
                  </w:r>
                </w:p>
              </w:tc>
            </w:tr>
            <w:tr>
              <w:tc>
                <w:tcPr/>
                <w:p>
                  <w:pPr>
                    <w:pStyle w:val="Compact"/>
                    <w:jc w:val="center"/>
                  </w:pPr>
                  <w:r>
                    <w:t xml:space="preserve">Operating temperature</w:t>
                  </w:r>
                </w:p>
              </w:tc>
              <w:tc>
                <w:tcPr/>
                <w:p>
                  <w:pPr>
                    <w:pStyle w:val="Compact"/>
                    <w:jc w:val="center"/>
                  </w:pPr>
                  <w:r>
                    <w:t xml:space="preserve">°C</w:t>
                  </w:r>
                </w:p>
              </w:tc>
              <w:tc>
                <w:tcPr/>
                <w:p>
                  <w:pPr>
                    <w:pStyle w:val="Compact"/>
                    <w:jc w:val="center"/>
                  </w:pPr>
                  <w:r>
                    <w:t xml:space="preserve">22</w:t>
                  </w:r>
                </w:p>
              </w:tc>
              <w:tc>
                <w:tcPr/>
                <w:p>
                  <w:pPr>
                    <w:pStyle w:val="Compact"/>
                    <w:jc w:val="center"/>
                  </w:pPr>
                  <w:r>
                    <w:t xml:space="preserve">15–30</w:t>
                  </w:r>
                </w:p>
              </w:tc>
              <w:tc>
                <w:tcPr/>
                <w:p>
                  <w:pPr>
                    <w:pStyle w:val="Compact"/>
                    <w:jc w:val="center"/>
                  </w:pPr>
                  <w:r>
                    <w:t xml:space="preserve">18–26</w:t>
                  </w:r>
                </w:p>
              </w:tc>
              <w:tc>
                <w:tcPr/>
                <w:p>
                  <w:pPr>
                    <w:pStyle w:val="Compact"/>
                    <w:jc w:val="center"/>
                  </w:pPr>
                  <w:r>
                    <w:t xml:space="preserve">univariate</w:t>
                  </w:r>
                </w:p>
              </w:tc>
            </w:tr>
            <w:tr>
              <w:tc>
                <w:tcPr/>
                <w:p>
                  <w:pPr>
                    <w:pStyle w:val="Compact"/>
                    <w:jc w:val="center"/>
                  </w:pPr>
                  <w:r>
                    <w:t xml:space="preserve">Bed height</w:t>
                  </w:r>
                </w:p>
              </w:tc>
              <w:tc>
                <w:tcPr/>
                <w:p>
                  <w:pPr>
                    <w:pStyle w:val="Compact"/>
                    <w:jc w:val="center"/>
                  </w:pPr>
                  <w:r>
                    <w:t xml:space="preserve">cm</w:t>
                  </w:r>
                </w:p>
              </w:tc>
              <w:tc>
                <w:tcPr/>
                <w:p>
                  <w:pPr>
                    <w:pStyle w:val="Compact"/>
                    <w:jc w:val="center"/>
                  </w:pPr>
                  <w:r>
                    <w:t xml:space="preserve">20</w:t>
                  </w:r>
                </w:p>
              </w:tc>
              <w:tc>
                <w:tcPr/>
                <w:p>
                  <w:pPr>
                    <w:pStyle w:val="Compact"/>
                    <w:jc w:val="center"/>
                  </w:pPr>
                  <w:r>
                    <w:t xml:space="preserve">10–30</w:t>
                  </w:r>
                </w:p>
              </w:tc>
              <w:tc>
                <w:tcPr/>
                <w:p>
                  <w:pPr>
                    <w:pStyle w:val="Compact"/>
                    <w:jc w:val="center"/>
                  </w:pPr>
                  <w:r>
                    <w:t xml:space="preserve">15–25</w:t>
                  </w:r>
                </w:p>
              </w:tc>
              <w:tc>
                <w:tcPr/>
                <w:p>
                  <w:pPr>
                    <w:pStyle w:val="Compact"/>
                    <w:jc w:val="center"/>
                  </w:pPr>
                  <w:r>
                    <w:t xml:space="preserve">univariate</w:t>
                  </w:r>
                </w:p>
              </w:tc>
            </w:tr>
            <w:tr>
              <w:tc>
                <w:tcPr>
                  <w:gridSpan w:val="6"/>
                </w:tcPr>
                <w:p>
                  <w:pPr>
                    <w:pStyle w:val="Compact"/>
                    <w:jc w:val="center"/>
                  </w:pPr>
                  <w:r>
                    <w:rPr>
                      <w:vertAlign w:val="superscript"/>
                    </w:rPr>
                    <w:t xml:space="preserve">a)</w:t>
                  </w:r>
                  <w:r>
                    <w:t xml:space="preserve"> </w:t>
                  </w:r>
                  <w:r>
                    <w:t xml:space="preserve">The NOR against which the studies were planned and judged. PCR-005 Version 2.0 narrowed protein load to 20–39 g/L resin.</w:t>
                  </w:r>
                </w:p>
              </w:tc>
            </w:tr>
          </w:tbl>
          <w:bookmarkEnd w:id="43"/>
          <w:p/>
        </w:tc>
      </w:tr>
    </w:tbl>
    <w:p>
      <w:pPr>
        <w:pStyle w:val="BodyText"/>
      </w:pPr>
      <w:r>
        <w:t xml:space="preserve">The ranges studied are between 1.9 and 2.3 times the width of the NOR. A range wider than the NOR shows how the step behaves near and beyond the edges of routine operation, and it gives the space within which a PAR can be claimed. A PAR is never claimed beyond the range studied (PCMP-001, proven acceptable ranges).</w:t>
      </w:r>
    </w:p>
    <w:p>
      <w:pPr>
        <w:pStyle w:val="BodyText"/>
      </w:pPr>
      <w:r>
        <w:t xml:space="preserve">Load flow rate is set as a linear velocity, so at the set-point bed height of 20 cm it fixes the residence time. The residence time is 6 min at the set-point of 200 cm/hr. Over the range studied it runs from 4 min at the highest flow to 12 min at the lowest. The upper end of the flow range therefore tests the shortest residence time against the highest load, which is the condition most likely to cause breakthrough.</w:t>
      </w:r>
    </w:p>
    <w:p>
      <w:pPr>
        <w:pStyle w:val="BodyText"/>
      </w:pPr>
      <w:r>
        <w:t xml:space="preserve">The lower end of the elution pH range, pH 3.2, tests the strongest elution and the largest release of weakly bound host cell protein. The upper end, pH 3.9, tests the weakest elution, with the broadest and latest peak and the least co-eluting host cell protein.</w:t>
      </w:r>
    </w:p>
    <w:p>
      <w:pPr>
        <w:pStyle w:val="BodyText"/>
      </w:pPr>
      <w:hyperlink w:anchor="tbl-legend">
        <w:r>
          <w:rPr>
            <w:rStyle w:val="Hyperlink"/>
          </w:rPr>
          <w:t xml:space="preserve">Table 8</w:t>
        </w:r>
      </w:hyperlink>
      <w:r>
        <w:t xml:space="preserve"> </w:t>
      </w:r>
      <w:r>
        <w:t xml:space="preserve">gives the letter code of each design factor, which the design matrices in the appendices use. Every design factor is studied in both the screening and the response-surface design.</w:t>
      </w:r>
    </w:p>
    <w:tbl>
      <w:tblPr>
        <w:tblStyle w:val="Table"/>
        <w:tblW w:type="pct" w:w="5000"/>
        <w:tblLayout w:type="fixed"/>
        <w:tblLook w:firstRow="0" w:lastRow="0" w:firstColumn="0" w:lastColumn="0" w:noHBand="0" w:noVBand="0" w:val="0000"/>
      </w:tblPr>
      <w:tblGrid>
        <w:gridCol w:w="7920"/>
      </w:tblGrid>
      <w:tr>
        <w:tc>
          <w:tcPr/>
          <w:bookmarkStart w:id="44" w:name="tbl-legend"/>
          <w:p>
            <w:pPr>
              <w:jc w:val="center"/>
            </w:pPr>
            <w:pPr>
              <w:jc w:val="start"/>
              <w:spacing w:before="200"/>
              <w:pStyle w:val="ImageCaption"/>
            </w:pPr>
            <w:r>
              <w:t xml:space="preserve">Table 8: Letter codes of the design factors.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Code</w:t>
                  </w:r>
                </w:p>
              </w:tc>
              <w:tc>
                <w:tcPr/>
                <w:p>
                  <w:pPr>
                    <w:pStyle w:val="Compact"/>
                    <w:jc w:val="center"/>
                  </w:pPr>
                  <w:r>
                    <w:t xml:space="preserve">Factor</w:t>
                  </w:r>
                </w:p>
              </w:tc>
              <w:tc>
                <w:tcPr/>
                <w:p>
                  <w:pPr>
                    <w:pStyle w:val="Compact"/>
                    <w:jc w:val="center"/>
                  </w:pPr>
                  <w:r>
                    <w:t xml:space="preserve">Unit</w:t>
                  </w:r>
                </w:p>
              </w:tc>
            </w:tr>
            <w:tr>
              <w:tc>
                <w:tcPr/>
                <w:p>
                  <w:pPr>
                    <w:pStyle w:val="Compact"/>
                    <w:jc w:val="center"/>
                  </w:pPr>
                  <w:r>
                    <w:t xml:space="preserve">A</w:t>
                  </w:r>
                </w:p>
              </w:tc>
              <w:tc>
                <w:tcPr/>
                <w:p>
                  <w:pPr>
                    <w:pStyle w:val="Compact"/>
                    <w:jc w:val="center"/>
                  </w:pPr>
                  <w:r>
                    <w:t xml:space="preserve">Protein load</w:t>
                  </w:r>
                </w:p>
              </w:tc>
              <w:tc>
                <w:tcPr/>
                <w:p>
                  <w:pPr>
                    <w:pStyle w:val="Compact"/>
                    <w:jc w:val="center"/>
                  </w:pPr>
                  <w:r>
                    <w:t xml:space="preserve">g/L resin</w:t>
                  </w:r>
                </w:p>
              </w:tc>
            </w:tr>
            <w:tr>
              <w:tc>
                <w:tcPr/>
                <w:p>
                  <w:pPr>
                    <w:pStyle w:val="Compact"/>
                    <w:jc w:val="center"/>
                  </w:pPr>
                  <w:r>
                    <w:t xml:space="preserve">B</w:t>
                  </w:r>
                </w:p>
              </w:tc>
              <w:tc>
                <w:tcPr/>
                <w:p>
                  <w:pPr>
                    <w:pStyle w:val="Compact"/>
                    <w:jc w:val="center"/>
                  </w:pPr>
                  <w:r>
                    <w:t xml:space="preserve">Elution buffer pH</w:t>
                  </w:r>
                </w:p>
              </w:tc>
              <w:tc>
                <w:tcPr/>
                <w:p>
                  <w:pPr>
                    <w:pStyle w:val="Compact"/>
                    <w:jc w:val="center"/>
                  </w:pPr>
                  <w:r>
                    <w:t xml:space="preserve">pH</w:t>
                  </w:r>
                </w:p>
              </w:tc>
            </w:tr>
            <w:tr>
              <w:tc>
                <w:tcPr/>
                <w:p>
                  <w:pPr>
                    <w:pStyle w:val="Compact"/>
                    <w:jc w:val="center"/>
                  </w:pPr>
                  <w:r>
                    <w:t xml:space="preserve">C</w:t>
                  </w:r>
                </w:p>
              </w:tc>
              <w:tc>
                <w:tcPr/>
                <w:p>
                  <w:pPr>
                    <w:pStyle w:val="Compact"/>
                    <w:jc w:val="center"/>
                  </w:pPr>
                  <w:r>
                    <w:t xml:space="preserve">Load flow rate</w:t>
                  </w:r>
                </w:p>
              </w:tc>
              <w:tc>
                <w:tcPr/>
                <w:p>
                  <w:pPr>
                    <w:pStyle w:val="Compact"/>
                    <w:jc w:val="center"/>
                  </w:pPr>
                  <w:r>
                    <w:t xml:space="preserve">cm/hr</w:t>
                  </w:r>
                </w:p>
              </w:tc>
            </w:tr>
            <w:tr>
              <w:tc>
                <w:tcPr/>
                <w:p>
                  <w:pPr>
                    <w:pStyle w:val="Compact"/>
                    <w:jc w:val="center"/>
                  </w:pPr>
                  <w:r>
                    <w:t xml:space="preserve">D</w:t>
                  </w:r>
                </w:p>
              </w:tc>
              <w:tc>
                <w:tcPr/>
                <w:p>
                  <w:pPr>
                    <w:pStyle w:val="Compact"/>
                    <w:jc w:val="center"/>
                  </w:pPr>
                  <w:r>
                    <w:t xml:space="preserve">End of pool collect</w:t>
                  </w:r>
                </w:p>
              </w:tc>
              <w:tc>
                <w:tcPr/>
                <w:p>
                  <w:pPr>
                    <w:pStyle w:val="Compact"/>
                    <w:jc w:val="center"/>
                  </w:pPr>
                  <w:r>
                    <w:t xml:space="preserve">CV</w:t>
                  </w:r>
                </w:p>
              </w:tc>
            </w:tr>
          </w:tbl>
          <w:bookmarkEnd w:id="44"/>
          <w:p/>
        </w:tc>
      </w:tr>
    </w:tbl>
    <w:bookmarkEnd w:id="45"/>
    <w:bookmarkStart w:id="46" w:name="sec-screening"/>
    <w:p>
      <w:pPr>
        <w:pStyle w:val="Heading2"/>
      </w:pPr>
      <w:r>
        <w:t xml:space="preserve">6.2 Screening design</w:t>
      </w:r>
    </w:p>
    <w:p>
      <w:pPr>
        <w:pStyle w:val="FirstParagraph"/>
      </w:pPr>
      <w:r>
        <w:t xml:space="preserve">The screening design (study S-PA-SCR) is a full two-level factorial design in the 4 factors of</w:t>
      </w:r>
      <w:r>
        <w:t xml:space="preserve"> </w:t>
      </w:r>
      <w:hyperlink w:anchor="tbl-legend">
        <w:r>
          <w:rPr>
            <w:rStyle w:val="Hyperlink"/>
          </w:rPr>
          <w:t xml:space="preserve">Table 8</w:t>
        </w:r>
      </w:hyperlink>
      <w:r>
        <w:t xml:space="preserve">, with 16 factorial runs and 3 centre points, 19 runs in all. Appendix A gives the planned matrix in coded units. Because the design is a full factorial, no effect is aliased with another. Every main effect and every two-factor interaction can be estimated. An interaction of protein load with elution buffer pH is possible and one with load flow rate is expected (</w:t>
      </w:r>
      <w:hyperlink w:anchor="sec-uo">
        <w:r>
          <w:rPr>
            <w:rStyle w:val="Hyperlink"/>
          </w:rPr>
          <w:t xml:space="preserve">Section 4.1</w:t>
        </w:r>
      </w:hyperlink>
      <w:r>
        <w:t xml:space="preserve">), so both must be estimable.</w:t>
      </w:r>
    </w:p>
    <w:p>
      <w:pPr>
        <w:pStyle w:val="BodyText"/>
      </w:pPr>
      <w:r>
        <w:t xml:space="preserve">The interaction model leaves 8 residual degrees of freedom. Of these, 2 come from the replicated centre points as pure error and 6 are available to test lack of fit. The centre points also allow a test for curvature. The responses are pool host cell protein, step yield and leached Protein A. Fragments by SEC are recorded for every run for information.</w:t>
      </w:r>
    </w:p>
    <w:p>
      <w:pPr>
        <w:pStyle w:val="BodyText"/>
      </w:pPr>
      <w:r>
        <w:t xml:space="preserve">All 4 factors are carried into the response-surface design whatever the screening result. Each of them carries an effect expected in</w:t>
      </w:r>
      <w:r>
        <w:t xml:space="preserve"> </w:t>
      </w:r>
      <w:hyperlink w:anchor="sec-uo">
        <w:r>
          <w:rPr>
            <w:rStyle w:val="Hyperlink"/>
          </w:rPr>
          <w:t xml:space="preserve">Section 4.1</w:t>
        </w:r>
      </w:hyperlink>
      <w:r>
        <w:t xml:space="preserve">, and 4 factors are few enough for a central composite design. The screening design therefore serves to identify effects and interactions and to check the ranges before the larger design is run.</w:t>
      </w:r>
    </w:p>
    <w:bookmarkEnd w:id="46"/>
    <w:bookmarkStart w:id="47" w:name="sec-rsm"/>
    <w:p>
      <w:pPr>
        <w:pStyle w:val="Heading2"/>
      </w:pPr>
      <w:r>
        <w:t xml:space="preserve">6.3 Response-surface design</w:t>
      </w:r>
    </w:p>
    <w:p>
      <w:pPr>
        <w:pStyle w:val="FirstParagraph"/>
      </w:pPr>
      <w:r>
        <w:t xml:space="preserve">The response-surface design (study S-PA-RSM) is a face-centred central composite design in the same 4 factors. It has 16 factorial runs, 8 axial runs at the faces of the cube (coded −1 and +1) and 4 centre points, 28 runs in all. Appendix B gives the planned matrix. A face-centred design keeps every run inside the range studied, so no axial run exceeds a range that RA-001 and the platform history support.</w:t>
      </w:r>
    </w:p>
    <w:p>
      <w:pPr>
        <w:pStyle w:val="BodyText"/>
      </w:pPr>
      <w:r>
        <w:t xml:space="preserve">The full quadratic model leaves 13 residual degrees of freedom, with 3 for pure error and 10 for lack of fit. The responses are pool host cell protein, step yield, leached Protein A and fragments by nrCE-SDS. Fragments are measured on the retained pools in study S-PA-RET (</w:t>
      </w:r>
      <w:hyperlink w:anchor="sec-sampling">
        <w:r>
          <w:rPr>
            <w:rStyle w:val="Hyperlink"/>
          </w:rPr>
          <w:t xml:space="preserve">Section 5.4</w:t>
        </w:r>
      </w:hyperlink>
      <w:r>
        <w:t xml:space="preserve">).</w:t>
      </w:r>
    </w:p>
    <w:bookmarkEnd w:id="47"/>
    <w:bookmarkStart w:id="48" w:name="sec-univariate"/>
    <w:p>
      <w:pPr>
        <w:pStyle w:val="Heading2"/>
      </w:pPr>
      <w:r>
        <w:t xml:space="preserve">6.4 Univariate assessment</w:t>
      </w:r>
    </w:p>
    <w:p>
      <w:pPr>
        <w:pStyle w:val="FirstParagraph"/>
      </w:pPr>
      <w:r>
        <w:t xml:space="preserve">Operating temperature and bed height will be assessed one factor at a time. Each will be run at the low edge, the centre and the high edge of its characterized range, with the other parameters held at their set-points and with the same responses measured as in the multivariate designs. Temperature will be assessed over 15 to 30 °C and bed height over 10 to 30 cm. Both parameters are assessed in study S-PA-UNI. The column and all buffers are equilibrated to the run temperature. In the bed height runs the linear velocity is held at its set-point, so that the residence time changes with the bed height. Holding the velocity makes the short bed the more severe test, because the short bed then also has the shortest residence time.</w:t>
      </w:r>
    </w:p>
    <w:p>
      <w:pPr>
        <w:pStyle w:val="BodyText"/>
      </w:pPr>
      <w:r>
        <w:t xml:space="preserve">These two parameters were kept out of the multivariate design for the mechanistic reasons given in</w:t>
      </w:r>
      <w:r>
        <w:t xml:space="preserve"> </w:t>
      </w:r>
      <w:hyperlink w:anchor="sec-risk">
        <w:r>
          <w:rPr>
            <w:rStyle w:val="Hyperlink"/>
          </w:rPr>
          <w:t xml:space="preserve">Section 4.3</w:t>
        </w:r>
      </w:hyperlink>
      <w:r>
        <w:t xml:space="preserve">. Their expected effects are small beside those of load and elution pH over the ranges they can take, and either can interact with protein load through the dynamic binding capacity. A univariate study cannot detect an interaction, and this limitation is accepted on the grounds that</w:t>
      </w:r>
      <w:r>
        <w:t xml:space="preserve"> </w:t>
      </w:r>
      <w:hyperlink w:anchor="sec-risk">
        <w:r>
          <w:rPr>
            <w:rStyle w:val="Hyperlink"/>
          </w:rPr>
          <w:t xml:space="preserve">Section 4.3</w:t>
        </w:r>
      </w:hyperlink>
      <w:r>
        <w:t xml:space="preserve"> </w:t>
      </w:r>
      <w:r>
        <w:t xml:space="preserve">gives for each parameter. Should the univariate data show an effect comparable with the multivariate effects, the parameter will be added to a supplementary multivariate study before the operating region is declared.</w:t>
      </w:r>
    </w:p>
    <w:p>
      <w:pPr>
        <w:pStyle w:val="BodyText"/>
      </w:pPr>
      <w:r>
        <w:t xml:space="preserve">A univariate study has no model, so there is no prediction interval to compute, and each individual result stands for a single batch, which is the statistic on which PCMP-001 judges a quality attribute. The range of a univariate parameter is therefore supported when every individual result at both ends meets the criterion of</w:t>
      </w:r>
      <w:r>
        <w:t xml:space="preserve"> </w:t>
      </w:r>
      <w:hyperlink w:anchor="tbl-outcrit">
        <w:r>
          <w:rPr>
            <w:rStyle w:val="Hyperlink"/>
          </w:rPr>
          <w:t xml:space="preserve">Table 9</w:t>
        </w:r>
      </w:hyperlink>
      <w:r>
        <w:t xml:space="preserve"> </w:t>
      </w:r>
      <w:r>
        <w:t xml:space="preserve">for pool host cell protein and for leached Protein A, after the offset is subtracted. Step yield has no criterion and is reported as the size of the effect only. Because the study cannot detect an interaction, the ranges of operating temperature and bed height are supported only with the other parameters at their set-points, and PCR-005 states this beside each result.</w:t>
      </w:r>
    </w:p>
    <w:bookmarkEnd w:id="48"/>
    <w:bookmarkEnd w:id="49"/>
    <w:bookmarkStart w:id="51" w:name="sec-criteria"/>
    <w:p>
      <w:pPr>
        <w:pStyle w:val="Heading1"/>
      </w:pPr>
      <w:r>
        <w:t xml:space="preserve">7. Acceptance and decision criteria</w:t>
      </w:r>
    </w:p>
    <w:p>
      <w:pPr>
        <w:pStyle w:val="FirstParagraph"/>
      </w:pPr>
      <w:r>
        <w:t xml:space="preserve">These criteria decide when the scale-down model is qualified, when a model may be used for prediction, when a range is proven acceptable, how a parameter is classified and where the operating region lies. Criteria 2 to 5 are the model adequacy criteria of PCMP-001. Their limits are the campaign thresholds that PCMP-001 sets for every step alike. These are the conventional 5 % significance level for the tests, and a limit of 0.20 on how far predicted R² may fall short of R², which guards against a model with more terms than the data support.</w:t>
      </w:r>
    </w:p>
    <w:p>
      <w:pPr>
        <w:pStyle w:val="Compact"/>
        <w:numPr>
          <w:ilvl w:val="0"/>
          <w:numId w:val="1005"/>
        </w:numPr>
      </w:pPr>
      <w:r>
        <w:t xml:space="preserve">Scale-down model qualification. For pool host cell protein and for leached Protein A, the model is qualified when the conclusion of criterion 6, whether the Protein A pool meets its criterion across the NOR, is the same with the offset at either end of its 90 % confidence interval. A model that is not qualified for an attribute is not used for that attribute. Step yield and column efficiency have no criterion at the step, so their offsets are recorded only. Fragments carry no offset, because the qualification has no fragment result, and they are accepted on the mechanism stated in</w:t>
      </w:r>
      <w:r>
        <w:t xml:space="preserve"> </w:t>
      </w:r>
      <w:hyperlink w:anchor="sec-sdm">
        <w:r>
          <w:rPr>
            <w:rStyle w:val="Hyperlink"/>
          </w:rPr>
          <w:t xml:space="preserve">Section 5.1</w:t>
        </w:r>
      </w:hyperlink>
      <w:r>
        <w:t xml:space="preserve">.</w:t>
      </w:r>
    </w:p>
    <w:p>
      <w:pPr>
        <w:pStyle w:val="Compact"/>
        <w:numPr>
          <w:ilvl w:val="0"/>
          <w:numId w:val="1005"/>
        </w:numPr>
      </w:pPr>
      <w:r>
        <w:t xml:space="preserve">Model significance. A response-surface model is used for prediction only if the model F-test is significant at α = 0.05.</w:t>
      </w:r>
    </w:p>
    <w:p>
      <w:pPr>
        <w:pStyle w:val="Compact"/>
        <w:numPr>
          <w:ilvl w:val="0"/>
          <w:numId w:val="1005"/>
        </w:numPr>
      </w:pPr>
      <w:r>
        <w:t xml:space="preserve">Lack of fit. The test of lack of fit against pure error is not significant at α = 0.05.</w:t>
      </w:r>
    </w:p>
    <w:p>
      <w:pPr>
        <w:pStyle w:val="Compact"/>
        <w:numPr>
          <w:ilvl w:val="0"/>
          <w:numId w:val="1005"/>
        </w:numPr>
      </w:pPr>
      <w:r>
        <w:t xml:space="preserve">Predictive power. The predicted R², computed from the prediction error sum of squares (PRESS), falls short of the R² of the same model by no more than 0.20.</w:t>
      </w:r>
    </w:p>
    <w:p>
      <w:pPr>
        <w:pStyle w:val="Compact"/>
        <w:numPr>
          <w:ilvl w:val="0"/>
          <w:numId w:val="1005"/>
        </w:numPr>
      </w:pPr>
      <w:r>
        <w:t xml:space="preserve">Residuals. A regression of the absolute residuals on the predicted values, and a regression of the residuals on run order, each show no slope significant at α = 0.05. No run has a Cook’s distance above 4/n, a common screening cut-off for influential runs that scales with the number of runs, which is 0.14 for the 28 runs of the response-surface design.</w:t>
      </w:r>
    </w:p>
    <w:p>
      <w:pPr>
        <w:pStyle w:val="Compact"/>
        <w:numPr>
          <w:ilvl w:val="0"/>
          <w:numId w:val="1005"/>
        </w:numPr>
      </w:pPr>
      <w:r>
        <w:t xml:space="preserve">Protein A pool and PARs. Each attribute of the Protein A pool with a criterion is judged against the criterion of</w:t>
      </w:r>
      <w:r>
        <w:t xml:space="preserve"> </w:t>
      </w:r>
      <w:hyperlink w:anchor="tbl-outcrit">
        <w:r>
          <w:rPr>
            <w:rStyle w:val="Hyperlink"/>
          </w:rPr>
          <w:t xml:space="preserve">Table 9</w:t>
        </w:r>
      </w:hyperlink>
      <w:r>
        <w:t xml:space="preserve"> </w:t>
      </w:r>
      <w:r>
        <w:t xml:space="preserve">by the analysis of</w:t>
      </w:r>
      <w:r>
        <w:t xml:space="preserve"> </w:t>
      </w:r>
      <w:hyperlink w:anchor="sec-par">
        <w:r>
          <w:rPr>
            <w:rStyle w:val="Hyperlink"/>
          </w:rPr>
          <w:t xml:space="preserve">Section 8</w:t>
        </w:r>
      </w:hyperlink>
      <w:r>
        <w:t xml:space="preserve">, after the offset is subtracted where one applies. A range is proven acceptable for an attribute when the NOR-propagated analysis (a simulation in which the other factors vary within their NOR,</w:t>
      </w:r>
      <w:r>
        <w:t xml:space="preserve"> </w:t>
      </w:r>
      <w:hyperlink w:anchor="sec-par-analyses">
        <w:r>
          <w:rPr>
            <w:rStyle w:val="Hyperlink"/>
          </w:rPr>
          <w:t xml:space="preserve">Section 8.2</w:t>
        </w:r>
      </w:hyperlink>
      <w:r>
        <w:t xml:space="preserve">) meets the criterion across it.</w:t>
      </w:r>
    </w:p>
    <w:p>
      <w:pPr>
        <w:pStyle w:val="Compact"/>
        <w:numPr>
          <w:ilvl w:val="0"/>
          <w:numId w:val="1005"/>
        </w:numPr>
      </w:pPr>
      <w:r>
        <w:t xml:space="preserve">Classification. Each parameter is classified under the parameter classification procedure SOP-4001 by the decision logic of PCMP-001. A parameter whose effect on a CQA is significant and practically relevant is critical, and it is well controlled when it has a low risk of leaving its acceptable range in operation. A parameter that affects only process performance is a key parameter, and one with no relevant effect is a general parameter. An attribute is affected by a parameter when a term that contains the parameter is significant at α = 0.05. A significant effect that is too small to move the attribute appreciably within the PAR does not by itself make the parameter critical. Neither PCMP-001 nor SOP-4001 sets a numerical threshold for a practically relevant effect or for a low risk. PCR-005 therefore states the size of each effect across the PAR beside its significance and the margin of the PAR to the NOR, and it gives the reason for each class on them.</w:t>
      </w:r>
    </w:p>
    <w:p>
      <w:pPr>
        <w:pStyle w:val="Compact"/>
        <w:numPr>
          <w:ilvl w:val="0"/>
          <w:numId w:val="1005"/>
        </w:numPr>
      </w:pPr>
      <w:r>
        <w:t xml:space="preserve">Operating region. The operating region will be declared as the part of the characterized space over which every quality attribute the step controls meets the criterion in</w:t>
      </w:r>
      <w:r>
        <w:t xml:space="preserve"> </w:t>
      </w:r>
      <w:hyperlink w:anchor="tbl-outcrit">
        <w:r>
          <w:rPr>
            <w:rStyle w:val="Hyperlink"/>
          </w:rPr>
          <w:t xml:space="preserve">Table 9</w:t>
        </w:r>
      </w:hyperlink>
      <w:r>
        <w:t xml:space="preserve"> </w:t>
      </w:r>
      <w:r>
        <w:t xml:space="preserve">at both ends of the 95 % prediction interval of a single run from its response-surface model, which is the statistic on which PCMP-001 draws the design space of a step. The study passes when the model is adequate for each modelled response, when the normal operating range of every parameter lies inside that region, and when the proven acceptable ranges of</w:t>
      </w:r>
      <w:r>
        <w:t xml:space="preserve"> </w:t>
      </w:r>
      <w:hyperlink w:anchor="sec-par">
        <w:r>
          <w:rPr>
            <w:rStyle w:val="Hyperlink"/>
          </w:rPr>
          <w:t xml:space="preserve">Section 8</w:t>
        </w:r>
      </w:hyperlink>
      <w:r>
        <w:t xml:space="preserve"> </w:t>
      </w:r>
      <w:r>
        <w:t xml:space="preserve">contain the normal operating range. A parameter whose normal operating range is not contained will have its range narrowed in PCR-005, and the narrowed range will be carried into the control strategy.</w:t>
      </w:r>
    </w:p>
    <w:p>
      <w:pPr>
        <w:pStyle w:val="FirstParagraph"/>
      </w:pPr>
      <w:r>
        <w:t xml:space="preserve">A run lost or invalidated during execution is reported in PCR-005, with a statement of whether the design was repaired or re-executed.</w:t>
      </w:r>
    </w:p>
    <w:tbl>
      <w:tblPr>
        <w:tblStyle w:val="Table"/>
        <w:tblW w:type="pct" w:w="5000"/>
        <w:tblLayout w:type="fixed"/>
        <w:tblLook w:firstRow="0" w:lastRow="0" w:firstColumn="0" w:lastColumn="0" w:noHBand="0" w:noVBand="0" w:val="0000"/>
      </w:tblPr>
      <w:tblGrid>
        <w:gridCol w:w="7920"/>
      </w:tblGrid>
      <w:tr>
        <w:tc>
          <w:tcPr/>
          <w:bookmarkStart w:id="50" w:name="tbl-outcrit"/>
          <w:p>
            <w:pPr>
              <w:jc w:val="center"/>
            </w:pPr>
            <w:pPr>
              <w:jc w:val="start"/>
              <w:spacing w:before="200"/>
              <w:pStyle w:val="ImageCaption"/>
            </w:pPr>
            <w:r>
              <w:t xml:space="preserve">Table 9: Criteria for the Protein A pool, with their basis, the statistic judged and the scale-down offset.</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Attribute</w:t>
                  </w:r>
                </w:p>
              </w:tc>
              <w:tc>
                <w:tcPr/>
                <w:p>
                  <w:pPr>
                    <w:pStyle w:val="Compact"/>
                    <w:jc w:val="center"/>
                  </w:pPr>
                  <w:r>
                    <w:t xml:space="preserve">Criterion</w:t>
                  </w:r>
                </w:p>
              </w:tc>
              <w:tc>
                <w:tcPr/>
                <w:p>
                  <w:pPr>
                    <w:pStyle w:val="Compact"/>
                    <w:jc w:val="center"/>
                  </w:pPr>
                  <w:r>
                    <w:t xml:space="preserve">Basis</w:t>
                  </w:r>
                </w:p>
              </w:tc>
              <w:tc>
                <w:tcPr/>
                <w:p>
                  <w:pPr>
                    <w:pStyle w:val="Compact"/>
                    <w:jc w:val="center"/>
                  </w:pPr>
                  <w:r>
                    <w:t xml:space="preserve">Statistic judged</w:t>
                  </w:r>
                </w:p>
              </w:tc>
              <w:tc>
                <w:tcPr/>
                <w:p>
                  <w:pPr>
                    <w:pStyle w:val="Compact"/>
                    <w:jc w:val="center"/>
                  </w:pPr>
                  <w:r>
                    <w:t xml:space="preserve">Offset</w:t>
                  </w:r>
                </w:p>
              </w:tc>
            </w:tr>
            <w:tr>
              <w:tc>
                <w:tcPr/>
                <w:p>
                  <w:pPr>
                    <w:pStyle w:val="Compact"/>
                    <w:jc w:val="center"/>
                  </w:pPr>
                  <w:r>
                    <w:t xml:space="preserve">Pool HCP (ng/mg)</w:t>
                  </w:r>
                </w:p>
              </w:tc>
              <w:tc>
                <w:tcPr/>
                <w:p>
                  <w:pPr>
                    <w:pStyle w:val="Compact"/>
                    <w:jc w:val="center"/>
                  </w:pPr>
                  <w:r>
                    <w:t xml:space="preserve">≤ 17,069</w:t>
                  </w:r>
                </w:p>
              </w:tc>
              <w:tc>
                <w:tcPr/>
                <w:p>
                  <w:pPr>
                    <w:pStyle w:val="Compact"/>
                    <w:jc w:val="center"/>
                  </w:pPr>
                  <w:r>
                    <w:t xml:space="preserve">Carried back</w:t>
                  </w:r>
                  <w:r>
                    <w:rPr>
                      <w:vertAlign w:val="superscript"/>
                    </w:rPr>
                    <w:t xml:space="preserve">a)</w:t>
                  </w:r>
                  <w:r>
                    <w:t xml:space="preserve">, widened</w:t>
                  </w:r>
                  <w:r>
                    <w:rPr>
                      <w:vertAlign w:val="superscript"/>
                    </w:rPr>
                    <w:t xml:space="preserve">b)</w:t>
                  </w:r>
                </w:p>
              </w:tc>
              <w:tc>
                <w:tcPr>
                  <w:vMerge w:val="restart"/>
                </w:tcPr>
                <w:p>
                  <w:pPr>
                    <w:pStyle w:val="Compact"/>
                    <w:jc w:val="center"/>
                  </w:pPr>
                  <w:r>
                    <w:t xml:space="preserve">Single batch</w:t>
                  </w:r>
                  <w:r>
                    <w:rPr>
                      <w:vertAlign w:val="superscript"/>
                    </w:rPr>
                    <w:t xml:space="preserve">c)</w:t>
                  </w:r>
                </w:p>
              </w:tc>
              <w:tc>
                <w:tcPr>
                  <w:vMerge w:val="restart"/>
                </w:tcPr>
                <w:p>
                  <w:pPr>
                    <w:pStyle w:val="Compact"/>
                    <w:jc w:val="center"/>
                  </w:pPr>
                  <w:r>
                    <w:t xml:space="preserve">Subtracted</w:t>
                  </w:r>
                </w:p>
              </w:tc>
            </w:tr>
            <w:tr>
              <w:tc>
                <w:tcPr/>
                <w:p>
                  <w:pPr>
                    <w:pStyle w:val="Compact"/>
                    <w:jc w:val="center"/>
                  </w:pPr>
                  <w:r>
                    <w:t xml:space="preserve">Leached Protein A (ppm)</w:t>
                  </w:r>
                </w:p>
              </w:tc>
              <w:tc>
                <w:tcPr/>
                <w:p>
                  <w:pPr>
                    <w:pStyle w:val="Compact"/>
                    <w:jc w:val="center"/>
                  </w:pPr>
                  <w:r>
                    <w:t xml:space="preserve">≤ 158</w:t>
                  </w:r>
                </w:p>
              </w:tc>
              <w:tc>
                <w:tcPr/>
                <w:p>
                  <w:pPr>
                    <w:pStyle w:val="Compact"/>
                    <w:jc w:val="center"/>
                  </w:pPr>
                  <w:r>
                    <w:t xml:space="preserve">Carried back</w:t>
                  </w:r>
                  <w:r>
                    <w:rPr>
                      <w:vertAlign w:val="superscript"/>
                    </w:rPr>
                    <w:t xml:space="preserve">a)</w:t>
                  </w:r>
                </w:p>
              </w:tc>
              <w:tc>
                <w:tcPr>
                  <w:gridSpan w:val="1"/>
                  <w:vMerge w:val="continue"/>
                </w:tcPr>
                <w:p>
                  <w:pPr/>
                </w:p>
              </w:tc>
              <w:tc>
                <w:tcPr>
                  <w:gridSpan w:val="1"/>
                  <w:vMerge w:val="continue"/>
                </w:tcPr>
                <w:p>
                  <w:pPr/>
                </w:p>
              </w:tc>
            </w:tr>
            <w:tr>
              <w:tc>
                <w:tcPr/>
                <w:p>
                  <w:pPr>
                    <w:pStyle w:val="Compact"/>
                    <w:jc w:val="center"/>
                  </w:pPr>
                  <w:r>
                    <w:t xml:space="preserve">Fragments (LMW, %, nrCE-SDS)</w:t>
                  </w:r>
                </w:p>
              </w:tc>
              <w:tc>
                <w:tcPr/>
                <w:p>
                  <w:pPr>
                    <w:pStyle w:val="Compact"/>
                    <w:jc w:val="center"/>
                  </w:pPr>
                  <w:r>
                    <w:t xml:space="preserve">≤ 2.45</w:t>
                  </w:r>
                </w:p>
              </w:tc>
              <w:tc>
                <w:tcPr/>
                <w:p>
                  <w:pPr>
                    <w:pStyle w:val="Compact"/>
                    <w:jc w:val="center"/>
                  </w:pPr>
                  <w:r>
                    <w:t xml:space="preserve">Carried back</w:t>
                  </w:r>
                  <w:r>
                    <w:rPr>
                      <w:vertAlign w:val="superscript"/>
                    </w:rPr>
                    <w:t xml:space="preserve">a)</w:t>
                  </w:r>
                </w:p>
              </w:tc>
              <w:tc>
                <w:tcPr>
                  <w:gridSpan w:val="1"/>
                  <w:vMerge w:val="continue"/>
                </w:tcPr>
                <w:p>
                  <w:pPr/>
                </w:p>
              </w:tc>
              <w:tc>
                <w:tcPr/>
                <w:p>
                  <w:pPr>
                    <w:pStyle w:val="Compact"/>
                    <w:jc w:val="center"/>
                  </w:pPr>
                  <w:r>
                    <w:t xml:space="preserve">None</w:t>
                  </w:r>
                  <w:r>
                    <w:rPr>
                      <w:vertAlign w:val="superscript"/>
                    </w:rPr>
                    <w:t xml:space="preserve">d)</w:t>
                  </w:r>
                </w:p>
              </w:tc>
            </w:tr>
            <w:tr>
              <w:tc>
                <w:tcPr/>
                <w:p>
                  <w:pPr>
                    <w:pStyle w:val="Compact"/>
                    <w:jc w:val="center"/>
                  </w:pPr>
                  <w:r>
                    <w:t xml:space="preserve">Step yield</w:t>
                  </w:r>
                </w:p>
              </w:tc>
              <w:tc>
                <w:tcPr/>
                <w:p>
                  <w:pPr>
                    <w:pStyle w:val="Compact"/>
                    <w:jc w:val="center"/>
                  </w:pPr>
                  <w:r>
                    <w:t xml:space="preserve">none</w:t>
                  </w:r>
                </w:p>
              </w:tc>
              <w:tc>
                <w:tcPr/>
                <w:p>
                  <w:pPr>
                    <w:pStyle w:val="Compact"/>
                    <w:jc w:val="center"/>
                  </w:pPr>
                  <w:r>
                    <w:t xml:space="preserve">Performance attribute</w:t>
                  </w:r>
                </w:p>
              </w:tc>
              <w:tc>
                <w:tcPr/>
                <w:p>
                  <w:pPr>
                    <w:pStyle w:val="Compact"/>
                    <w:jc w:val="center"/>
                  </w:pPr>
                  <w:r>
                    <w:t xml:space="preserve">not applicable</w:t>
                  </w:r>
                </w:p>
              </w:tc>
              <w:tc>
                <w:tcPr/>
                <w:p>
                  <w:pPr>
                    <w:pStyle w:val="Compact"/>
                    <w:jc w:val="center"/>
                  </w:pPr>
                  <w:r>
                    <w:t xml:space="preserve">Recorded only</w:t>
                  </w:r>
                </w:p>
              </w:tc>
            </w:tr>
            <w:tr>
              <w:tc>
                <w:tcPr>
                  <w:gridSpan w:val="5"/>
                </w:tcPr>
                <w:p>
                  <w:pPr>
                    <w:pStyle w:val="Compact"/>
                    <w:jc w:val="center"/>
                  </w:pPr>
                  <w:r>
                    <w:rPr>
                      <w:vertAlign w:val="superscript"/>
                    </w:rPr>
                    <w:t xml:space="preserve">a)</w:t>
                  </w:r>
                  <w:r>
                    <w:t xml:space="preserve"> </w:t>
                  </w:r>
                  <w:r>
                    <w:t xml:space="preserve">The drug substance criterion carried back through the platform worst case of the downstream steps (PCMP-001, intermediate acceptance criteria).</w:t>
                  </w:r>
                </w:p>
              </w:tc>
            </w:tr>
            <w:tr>
              <w:tc>
                <w:tcPr>
                  <w:gridSpan w:val="5"/>
                </w:tcPr>
                <w:p>
                  <w:pPr>
                    <w:pStyle w:val="Compact"/>
                    <w:jc w:val="center"/>
                  </w:pPr>
                  <w:r>
                    <w:rPr>
                      <w:vertAlign w:val="superscript"/>
                    </w:rPr>
                    <w:t xml:space="preserve">b)</w:t>
                  </w:r>
                  <w:r>
                    <w:t xml:space="preserve"> </w:t>
                  </w:r>
                  <w:r>
                    <w:t xml:space="preserve">Widened, because the A-Mab results of anion exchange showed at the one-sided 95 % prediction bound of a single batch, from a model that meets the first three adequacy criteria of PCMP-001 and is not an exact fit, that the step clears more host cell protein than its platform worst case (PCMP-001, verification of the platform worst cases).</w:t>
                  </w:r>
                </w:p>
              </w:tc>
            </w:tr>
            <w:tr>
              <w:tc>
                <w:tcPr>
                  <w:gridSpan w:val="5"/>
                </w:tcPr>
                <w:p>
                  <w:pPr>
                    <w:pStyle w:val="Compact"/>
                    <w:jc w:val="center"/>
                  </w:pPr>
                  <w:r>
                    <w:rPr>
                      <w:vertAlign w:val="superscript"/>
                    </w:rPr>
                    <w:t xml:space="preserve">c)</w:t>
                  </w:r>
                  <w:r>
                    <w:t xml:space="preserve"> </w:t>
                  </w:r>
                  <w:r>
                    <w:t xml:space="preserve">The value compared with the criterion is the upper end of the 95 % prediction interval of a single batch. The criterion is an upper limit, so only that end is compared, which makes it a one-sided 97.5 % prediction limit.</w:t>
                  </w:r>
                </w:p>
              </w:tc>
            </w:tr>
            <w:tr>
              <w:tc>
                <w:tcPr>
                  <w:gridSpan w:val="5"/>
                </w:tcPr>
                <w:p>
                  <w:pPr>
                    <w:pStyle w:val="Compact"/>
                    <w:jc w:val="center"/>
                  </w:pPr>
                  <w:r>
                    <w:rPr>
                      <w:vertAlign w:val="superscript"/>
                    </w:rPr>
                    <w:t xml:space="preserve">d)</w:t>
                  </w:r>
                  <w:r>
                    <w:t xml:space="preserve"> </w:t>
                  </w:r>
                  <w:r>
                    <w:t xml:space="preserve">The scale-down model qualification has no fragment result, so fragments carry no offset.</w:t>
                  </w:r>
                </w:p>
              </w:tc>
            </w:tr>
          </w:tbl>
          <w:bookmarkEnd w:id="50"/>
          <w:p/>
        </w:tc>
      </w:tr>
    </w:tbl>
    <w:bookmarkEnd w:id="51"/>
    <w:bookmarkStart w:id="57" w:name="sec-par"/>
    <w:p>
      <w:pPr>
        <w:pStyle w:val="Heading1"/>
      </w:pPr>
      <w:r>
        <w:t xml:space="preserve">8. Proven acceptable ranges (planned analysis)</w:t>
      </w:r>
    </w:p>
    <w:bookmarkStart w:id="54" w:name="sec-iac"/>
    <w:p>
      <w:pPr>
        <w:pStyle w:val="Heading2"/>
      </w:pPr>
      <w:r>
        <w:t xml:space="preserve">8.1 Intermediate acceptance criteria</w:t>
      </w:r>
    </w:p>
    <w:p>
      <w:pPr>
        <w:pStyle w:val="FirstParagraph"/>
      </w:pPr>
      <w:r>
        <w:t xml:space="preserve">A drug substance criterion does not say what the Protein A pool must meet, because the steps after capture remove part of what the pool carries. Each attribute of the Protein A pool is therefore judged against an intermediate acceptance criterion (IAC), derived by the rule that PCMP-001 sets for these criteria. The drug substance criterion is carried backward through the train, using the worst case that each downstream step showed on the platform with X-Mab, Y-Mab and Z-Mab. For a step that removes an attribute the worst case is the lowest clearance fold. For fragments, which are a percentage, the clearance fold of a step is the fragment level in its load divided by the fragment level in its pool. For a step that adds to an attribute the worst case is the largest increase. No margin is applied.</w:t>
      </w:r>
      <w:r>
        <w:t xml:space="preserve"> </w:t>
      </w:r>
      <w:hyperlink w:anchor="tbl-iac">
        <w:r>
          <w:rPr>
            <w:rStyle w:val="Hyperlink"/>
          </w:rPr>
          <w:t xml:space="preserve">Table 10</w:t>
        </w:r>
      </w:hyperlink>
      <w:r>
        <w:t xml:space="preserve"> </w:t>
      </w:r>
      <w:r>
        <w:t xml:space="preserve">gives the three criteria of this step with their derivation.</w:t>
      </w:r>
    </w:p>
    <w:tbl>
      <w:tblPr>
        <w:tblStyle w:val="Table"/>
        <w:tblW w:type="pct" w:w="5000"/>
        <w:tblLayout w:type="fixed"/>
        <w:tblLook w:firstRow="0" w:lastRow="0" w:firstColumn="0" w:lastColumn="0" w:noHBand="0" w:noVBand="0" w:val="0000"/>
      </w:tblPr>
      <w:tblGrid>
        <w:gridCol w:w="7920"/>
      </w:tblGrid>
      <w:tr>
        <w:tc>
          <w:tcPr/>
          <w:bookmarkStart w:id="52" w:name="tbl-iac"/>
          <w:p>
            <w:pPr>
              <w:jc w:val="center"/>
            </w:pPr>
            <w:pPr>
              <w:jc w:val="start"/>
              <w:spacing w:before="200"/>
              <w:pStyle w:val="ImageCaption"/>
            </w:pPr>
            <w:r>
              <w:t xml:space="preserve">Table 10: Intermediate acceptance criteria for the Protein A output and their derivation from the drug-substance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DS criterion</w:t>
                  </w:r>
                </w:p>
              </w:tc>
              <w:tc>
                <w:tcPr>
                  <w:gridSpan w:val="2"/>
                </w:tcPr>
                <w:p>
                  <w:pPr>
                    <w:pStyle w:val="Compact"/>
                    <w:jc w:val="center"/>
                  </w:pPr>
                  <w:r>
                    <w:t xml:space="preserve">Downstream worst case</w:t>
                  </w:r>
                  <w:r>
                    <w:br/>
                  </w:r>
                  <w:r>
                    <w:t xml:space="preserve">(platform or verified)</w:t>
                  </w:r>
                </w:p>
              </w:tc>
              <w:tc>
                <w:tcPr>
                  <w:vMerge w:val="restart"/>
                </w:tcPr>
                <w:p>
                  <w:pPr>
                    <w:pStyle w:val="Compact"/>
                    <w:jc w:val="center"/>
                  </w:pPr>
                  <w:r>
                    <w:t xml:space="preserve">IAC</w:t>
                  </w:r>
                </w:p>
              </w:tc>
              <w:tc>
                <w:tcPr>
                  <w:vMerge w:val="restart"/>
                </w:tcPr>
                <w:p>
                  <w:pPr>
                    <w:pStyle w:val="Compact"/>
                    <w:jc w:val="center"/>
                  </w:pPr>
                  <w:r>
                    <w:t xml:space="preserve">Basis</w:t>
                  </w:r>
                </w:p>
              </w:tc>
            </w:tr>
            <w:tr>
              <w:trPr>
                <w:tblHeader w:val="on"/>
              </w:trPr>
              <w:tc>
                <w:tcPr>
                  <w:gridSpan w:val="1"/>
                  <w:vMerge w:val="continue"/>
                </w:tcPr>
                <w:p>
                  <w:pPr/>
                </w:p>
              </w:tc>
              <w:tc>
                <w:tcPr>
                  <w:gridSpan w:val="1"/>
                  <w:vMerge w:val="continue"/>
                </w:tcPr>
                <w:p>
                  <w:pPr/>
                </w:p>
              </w:tc>
              <w:tc>
                <w:tcPr/>
                <w:p>
                  <w:pPr>
                    <w:pStyle w:val="Compact"/>
                    <w:jc w:val="center"/>
                  </w:pPr>
                  <w:r>
                    <w:t xml:space="preserve">Clearance factor</w:t>
                  </w:r>
                </w:p>
              </w:tc>
              <w:tc>
                <w:tcPr/>
                <w:p>
                  <w:pPr>
                    <w:pStyle w:val="Compact"/>
                    <w:jc w:val="center"/>
                  </w:pPr>
                  <w:r>
                    <w:t xml:space="preserve">Increase</w:t>
                  </w:r>
                </w:p>
              </w:tc>
              <w:tc>
                <w:tcPr>
                  <w:gridSpan w:val="1"/>
                  <w:vMerge w:val="continue"/>
                </w:tcPr>
                <w:p>
                  <w:pPr/>
                </w:p>
              </w:tc>
              <w:tc>
                <w:tcPr>
                  <w:gridSpan w:val="1"/>
                  <w:vMerge w:val="continue"/>
                </w:tcPr>
                <w:p>
                  <w:pPr/>
                </w:p>
              </w:tc>
            </w:tr>
            <w:tr>
              <w:tc>
                <w:tcPr/>
                <w:p>
                  <w:pPr>
                    <w:pStyle w:val="Compact"/>
                    <w:jc w:val="center"/>
                  </w:pPr>
                  <w:r>
                    <w:t xml:space="preserve">Host cell protein (ng/mg)</w:t>
                  </w:r>
                </w:p>
              </w:tc>
              <w:tc>
                <w:tcPr/>
                <w:p>
                  <w:pPr>
                    <w:pStyle w:val="Compact"/>
                    <w:jc w:val="center"/>
                  </w:pPr>
                  <w:r>
                    <w:t xml:space="preserve">≤ 100</w:t>
                  </w:r>
                </w:p>
              </w:tc>
              <w:tc>
                <w:tcPr/>
                <w:p>
                  <w:pPr>
                    <w:pStyle w:val="Compact"/>
                    <w:jc w:val="center"/>
                  </w:pPr>
                  <w:r>
                    <w:t xml:space="preserve">171</w:t>
                  </w:r>
                </w:p>
              </w:tc>
              <w:tc>
                <w:tcPr/>
                <w:p>
                  <w:pPr>
                    <w:pStyle w:val="Compact"/>
                    <w:jc w:val="center"/>
                  </w:pPr>
                  <w:r>
                    <w:t xml:space="preserve">0.00</w:t>
                  </w:r>
                </w:p>
              </w:tc>
              <w:tc>
                <w:tcPr/>
                <w:p>
                  <w:pPr>
                    <w:pStyle w:val="Compact"/>
                    <w:jc w:val="center"/>
                  </w:pPr>
                  <w:r>
                    <w:t xml:space="preserve">≤ 17,069</w:t>
                  </w:r>
                </w:p>
              </w:tc>
              <w:tc>
                <w:tcPr/>
                <w:p>
                  <w:pPr>
                    <w:pStyle w:val="Compact"/>
                    <w:jc w:val="center"/>
                  </w:pPr>
                  <w:r>
                    <w:t xml:space="preserve">Carried back, widened</w:t>
                  </w:r>
                  <w:r>
                    <w:rPr>
                      <w:vertAlign w:val="superscript"/>
                    </w:rPr>
                    <w:t xml:space="preserve">a)</w:t>
                  </w:r>
                </w:p>
              </w:tc>
            </w:tr>
            <w:tr>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1.30</w:t>
                  </w:r>
                </w:p>
              </w:tc>
              <w:tc>
                <w:tcPr/>
                <w:p>
                  <w:pPr>
                    <w:pStyle w:val="Compact"/>
                    <w:jc w:val="center"/>
                  </w:pPr>
                  <w:r>
                    <w:t xml:space="preserve">0.15</w:t>
                  </w:r>
                </w:p>
              </w:tc>
              <w:tc>
                <w:tcPr/>
                <w:p>
                  <w:pPr>
                    <w:pStyle w:val="Compact"/>
                    <w:jc w:val="center"/>
                  </w:pPr>
                  <w:r>
                    <w:t xml:space="preserve">≤ 2.45</w:t>
                  </w:r>
                </w:p>
              </w:tc>
              <w:tc>
                <w:tcPr/>
                <w:p>
                  <w:pPr>
                    <w:pStyle w:val="Compact"/>
                    <w:jc w:val="center"/>
                  </w:pPr>
                  <w:r>
                    <w:t xml:space="preserve">Carried back</w:t>
                  </w:r>
                </w:p>
              </w:tc>
            </w:tr>
            <w:tr>
              <w:tc>
                <w:tcPr/>
                <w:p>
                  <w:pPr>
                    <w:pStyle w:val="Compact"/>
                    <w:jc w:val="center"/>
                  </w:pPr>
                  <w:r>
                    <w:t xml:space="preserve">Leached Protein A (ppm)</w:t>
                  </w:r>
                </w:p>
              </w:tc>
              <w:tc>
                <w:tcPr/>
                <w:p>
                  <w:pPr>
                    <w:pStyle w:val="Compact"/>
                    <w:jc w:val="center"/>
                  </w:pPr>
                  <w:r>
                    <w:t xml:space="preserve">≤ 5.00</w:t>
                  </w:r>
                </w:p>
              </w:tc>
              <w:tc>
                <w:tcPr/>
                <w:p>
                  <w:pPr>
                    <w:pStyle w:val="Compact"/>
                    <w:jc w:val="center"/>
                  </w:pPr>
                  <w:r>
                    <w:t xml:space="preserve">31.6</w:t>
                  </w:r>
                </w:p>
              </w:tc>
              <w:tc>
                <w:tcPr/>
                <w:p>
                  <w:pPr>
                    <w:pStyle w:val="Compact"/>
                    <w:jc w:val="center"/>
                  </w:pPr>
                  <w:r>
                    <w:t xml:space="preserve">0.00</w:t>
                  </w:r>
                </w:p>
              </w:tc>
              <w:tc>
                <w:tcPr/>
                <w:p>
                  <w:pPr>
                    <w:pStyle w:val="Compact"/>
                    <w:jc w:val="center"/>
                  </w:pPr>
                  <w:r>
                    <w:t xml:space="preserve">≤ 158</w:t>
                  </w:r>
                </w:p>
              </w:tc>
              <w:tc>
                <w:tcPr/>
                <w:p>
                  <w:pPr>
                    <w:pStyle w:val="Compact"/>
                    <w:jc w:val="center"/>
                  </w:pPr>
                  <w:r>
                    <w:t xml:space="preserve">Carried back</w:t>
                  </w:r>
                </w:p>
              </w:tc>
            </w:tr>
            <w:tr>
              <w:tc>
                <w:tcPr>
                  <w:gridSpan w:val="6"/>
                </w:tcPr>
                <w:p>
                  <w:pPr>
                    <w:pStyle w:val="Compact"/>
                    <w:jc w:val="center"/>
                  </w:pPr>
                  <w:r>
                    <w:rPr>
                      <w:vertAlign w:val="superscript"/>
                    </w:rPr>
                    <w:t xml:space="preserve">a)</w:t>
                  </w:r>
                  <w:r>
                    <w:t xml:space="preserve"> </w:t>
                  </w:r>
                  <w:r>
                    <w:t xml:space="preserve">The one-sided 95 % prediction bound of a single batch at a downstream step's A-Mab worst case within its NOR was better than the platform worst case. The bound replaced it.</w:t>
                  </w:r>
                </w:p>
              </w:tc>
            </w:tr>
            <w:tr>
              <w:tc>
                <w:tcPr>
                  <w:gridSpan w:val="6"/>
                </w:tcPr>
                <w:p>
                  <w:pPr>
                    <w:pStyle w:val="Compact"/>
                    <w:jc w:val="center"/>
                  </w:pPr>
                  <w:r>
                    <w:t xml:space="preserve">DS, drug substance. IAC, intermediate acceptance criterion. Increase, in the unit of the criterion.</w:t>
                  </w:r>
                </w:p>
              </w:tc>
            </w:tr>
            <w:tr>
              <w:tc>
                <w:tcPr>
                  <w:gridSpan w:val="6"/>
                </w:tcPr>
                <w:p>
                  <w:pPr>
                    <w:pStyle w:val="Compact"/>
                    <w:jc w:val="center"/>
                  </w:pPr>
                  <w:r>
                    <w:t xml:space="preserve">Computed from unrounded values. A criterion recomputed from the rounded values shown can differ in its last digit.</w:t>
                  </w:r>
                </w:p>
              </w:tc>
            </w:tr>
          </w:tbl>
          <w:bookmarkEnd w:id="52"/>
          <w:p/>
        </w:tc>
      </w:tr>
    </w:tbl>
    <w:p>
      <w:pPr>
        <w:pStyle w:val="BodyText"/>
      </w:pPr>
      <w:r>
        <w:t xml:space="preserve">For pool host cell protein the drug substance limit of 100 ng/mg is carried back through cation exchange and anion exchange, which together clear host cell protein 170.690-fold in the derivation. That gives 17,069 ng/mg. For leached Protein A the limit of 5 ppm and a combined clearance of 31.6-fold give 158 ppm. For fragments the limit of 2.00 % is multiplied by the clearance fold of cation exchange, 1.300, and the largest increase of low-pH viral inactivation, 0.15 percentage points, is subtracted. That gives 2.45 %.</w:t>
      </w:r>
    </w:p>
    <w:p>
      <w:pPr>
        <w:pStyle w:val="BodyText"/>
      </w:pPr>
      <w:r>
        <w:t xml:space="preserve">The criterion for pool host cell protein is in force at a widened value. From the platform worst cases alone, the derivation gave 16,000 ng/mg. The A-Mab model of anion exchange meets the first three adequacy criteria of PCMP-001 and is not an exact fit, and it showed at the one-sided 95 % prediction bound of a single batch that the step clears host cell protein better than its platform worst case. That bound replaced the platform value, which widened the criterion to the value above. The criterion for fragments is at its a priori value of 2.45 %, because the A-Mab results of the downstream steps did not replace any platform value for fragments (</w:t>
      </w:r>
      <w:hyperlink w:anchor="tbl-worstcase">
        <w:r>
          <w:rPr>
            <w:rStyle w:val="Hyperlink"/>
          </w:rPr>
          <w:t xml:space="preserve">Table 11</w:t>
        </w:r>
      </w:hyperlink>
      <w:r>
        <w:t xml:space="preserve">). The criterion for leached Protein A is at its a priori value of 158 ppm, because leached Protein A is not a response of the cation exchange or anion exchange designs, so its platform values cannot be checked in this campaign.</w:t>
      </w:r>
    </w:p>
    <w:p>
      <w:pPr>
        <w:pStyle w:val="BodyText"/>
      </w:pPr>
      <w:r>
        <w:t xml:space="preserve">PCMP-001 sets, in its rule for verifying the platform worst cases, how the A-Mab results of a downstream step change a criterion of this step. The rule was set before any Version 2.0 report applied it.</w:t>
      </w:r>
    </w:p>
    <w:p>
      <w:pPr>
        <w:pStyle w:val="Compact"/>
        <w:numPr>
          <w:ilvl w:val="0"/>
          <w:numId w:val="1006"/>
        </w:numPr>
      </w:pPr>
      <w:r>
        <w:t xml:space="preserve">Where a downstream step does worse within its NOR than its platform worst case, the one-sided 95 % prediction bound of a single batch at its A-Mab worst case, taken on the unfavourable side, replaces the platform value. The criterion of this step then becomes stricter.</w:t>
      </w:r>
    </w:p>
    <w:p>
      <w:pPr>
        <w:pStyle w:val="Compact"/>
        <w:numPr>
          <w:ilvl w:val="0"/>
          <w:numId w:val="1006"/>
        </w:numPr>
      </w:pPr>
      <w:r>
        <w:t xml:space="preserve">Where the one-sided 95 % prediction bound of a single batch at the A-Mab worst case within the NOR is better than the platform value, and the response-surface model of the downstream step meets the first three adequacy criteria of PCMP-001 (a significant model, no significant lack of fit and the limit on overfitting) and is not an exact fit, the bound replaces the platform value. The fourth criterion, on the residuals and on influential runs, does not decide the change. The report that gives the bound examines it and states whether the bound depends on a single run. The criterion of this step then becomes wider. The point prediction is never used to widen a criterion.</w:t>
      </w:r>
    </w:p>
    <w:p>
      <w:pPr>
        <w:pStyle w:val="Compact"/>
        <w:numPr>
          <w:ilvl w:val="0"/>
          <w:numId w:val="1006"/>
        </w:numPr>
      </w:pPr>
      <w:r>
        <w:t xml:space="preserve">Otherwise the platform value stands.</w:t>
      </w:r>
    </w:p>
    <w:p>
      <w:pPr>
        <w:pStyle w:val="FirstParagraph"/>
      </w:pPr>
      <w:r>
        <w:t xml:space="preserve">PCR-005 relies on the widened criterion for pool host cell protein. For it, PCR-005 gives the following.</w:t>
      </w:r>
    </w:p>
    <w:p>
      <w:pPr>
        <w:pStyle w:val="Compact"/>
        <w:numPr>
          <w:ilvl w:val="0"/>
          <w:numId w:val="1007"/>
        </w:numPr>
      </w:pPr>
      <w:r>
        <w:t xml:space="preserve">The bound and the platform value it replaced.</w:t>
      </w:r>
    </w:p>
    <w:p>
      <w:pPr>
        <w:pStyle w:val="Compact"/>
        <w:numPr>
          <w:ilvl w:val="0"/>
          <w:numId w:val="1007"/>
        </w:numPr>
      </w:pPr>
      <w:r>
        <w:t xml:space="preserve">The runs of the anion exchange design behind the bound.</w:t>
      </w:r>
    </w:p>
    <w:p>
      <w:pPr>
        <w:pStyle w:val="Compact"/>
        <w:numPr>
          <w:ilvl w:val="0"/>
          <w:numId w:val="1007"/>
        </w:numPr>
      </w:pPr>
      <w:r>
        <w:t xml:space="preserve">The adequacy results of the anion exchange model.</w:t>
      </w:r>
    </w:p>
    <w:p>
      <w:pPr>
        <w:pStyle w:val="Compact"/>
        <w:numPr>
          <w:ilvl w:val="0"/>
          <w:numId w:val="1007"/>
        </w:numPr>
      </w:pPr>
      <w:r>
        <w:t xml:space="preserve">The reason why the performance of anion exchange for A-Mab is known well enough to replace the platform value.</w:t>
      </w:r>
    </w:p>
    <w:p>
      <w:pPr>
        <w:pStyle w:val="FirstParagraph"/>
      </w:pPr>
      <w:hyperlink w:anchor="tbl-worstcase">
        <w:r>
          <w:rPr>
            <w:rStyle w:val="Hyperlink"/>
          </w:rPr>
          <w:t xml:space="preserve">Table 11</w:t>
        </w:r>
      </w:hyperlink>
      <w:r>
        <w:t xml:space="preserve"> </w:t>
      </w:r>
      <w:r>
        <w:t xml:space="preserve">lists the downstream values that the criteria of this step rest on, with the platform value, the value in force and the report that checks each.</w:t>
      </w:r>
    </w:p>
    <w:tbl>
      <w:tblPr>
        <w:tblStyle w:val="Table"/>
        <w:tblW w:type="pct" w:w="5000"/>
        <w:tblLayout w:type="fixed"/>
        <w:tblLook w:firstRow="0" w:lastRow="0" w:firstColumn="0" w:lastColumn="0" w:noHBand="0" w:noVBand="0" w:val="0000"/>
      </w:tblPr>
      <w:tblGrid>
        <w:gridCol w:w="7920"/>
      </w:tblGrid>
      <w:tr>
        <w:tc>
          <w:tcPr/>
          <w:bookmarkStart w:id="53" w:name="tbl-worstcase"/>
          <w:p>
            <w:pPr>
              <w:jc w:val="center"/>
            </w:pPr>
            <w:pPr>
              <w:jc w:val="start"/>
              <w:spacing w:before="200"/>
              <w:pStyle w:val="ImageCaption"/>
            </w:pPr>
            <w:r>
              <w:t xml:space="preserve">Table 11: Downstream values on which the criteria of this step rely, the value in force and the report that checks each.</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Downstream step</w:t>
                  </w:r>
                </w:p>
              </w:tc>
              <w:tc>
                <w:tcPr/>
                <w:p>
                  <w:pPr>
                    <w:pStyle w:val="Compact"/>
                    <w:jc w:val="center"/>
                  </w:pPr>
                  <w:r>
                    <w:t xml:space="preserve">Attribute</w:t>
                  </w:r>
                </w:p>
              </w:tc>
              <w:tc>
                <w:tcPr/>
                <w:p>
                  <w:pPr>
                    <w:pStyle w:val="Compact"/>
                    <w:jc w:val="center"/>
                  </w:pPr>
                  <w:r>
                    <w:t xml:space="preserve">Worst case</w:t>
                  </w:r>
                </w:p>
              </w:tc>
              <w:tc>
                <w:tcPr/>
                <w:p>
                  <w:pPr>
                    <w:pStyle w:val="Compact"/>
                    <w:jc w:val="center"/>
                  </w:pPr>
                  <w:r>
                    <w:t xml:space="preserve">Platform</w:t>
                  </w:r>
                  <w:r>
                    <w:br/>
                  </w:r>
                  <w:r>
                    <w:t xml:space="preserve">value</w:t>
                  </w:r>
                </w:p>
              </w:tc>
              <w:tc>
                <w:tcPr/>
                <w:p>
                  <w:pPr>
                    <w:pStyle w:val="Compact"/>
                    <w:jc w:val="center"/>
                  </w:pPr>
                  <w:r>
                    <w:t xml:space="preserve">Value</w:t>
                  </w:r>
                  <w:r>
                    <w:br/>
                  </w:r>
                  <w:r>
                    <w:t xml:space="preserve">in force</w:t>
                  </w:r>
                </w:p>
              </w:tc>
              <w:tc>
                <w:tcPr/>
                <w:p>
                  <w:pPr>
                    <w:pStyle w:val="Compact"/>
                    <w:jc w:val="center"/>
                  </w:pPr>
                  <w:r>
                    <w:t xml:space="preserve">Value set by</w:t>
                  </w:r>
                </w:p>
              </w:tc>
              <w:tc>
                <w:tcPr/>
                <w:p>
                  <w:pPr>
                    <w:pStyle w:val="Compact"/>
                    <w:jc w:val="center"/>
                  </w:pPr>
                  <w:r>
                    <w:t xml:space="preserve">Checked in</w:t>
                  </w:r>
                </w:p>
              </w:tc>
            </w:tr>
            <w:tr>
              <w:tc>
                <w:tcPr/>
                <w:p>
                  <w:pPr>
                    <w:pStyle w:val="Compact"/>
                    <w:jc w:val="center"/>
                  </w:pPr>
                  <w:r>
                    <w:t xml:space="preserve">Low-pH viral inactivation</w:t>
                  </w:r>
                </w:p>
              </w:tc>
              <w:tc>
                <w:tcPr/>
                <w:p>
                  <w:pPr>
                    <w:pStyle w:val="Compact"/>
                    <w:jc w:val="center"/>
                  </w:pPr>
                  <w:r>
                    <w:t xml:space="preserve">Fragments, LMW</w:t>
                  </w:r>
                </w:p>
              </w:tc>
              <w:tc>
                <w:tcPr/>
                <w:p>
                  <w:pPr>
                    <w:pStyle w:val="Compact"/>
                    <w:jc w:val="center"/>
                  </w:pPr>
                  <w:r>
                    <w:t xml:space="preserve">Largest increase (percentage points)</w:t>
                  </w:r>
                </w:p>
              </w:tc>
              <w:tc>
                <w:tcPr/>
                <w:p>
                  <w:pPr>
                    <w:pStyle w:val="Compact"/>
                    <w:jc w:val="center"/>
                  </w:pPr>
                  <w:r>
                    <w:t xml:space="preserve">0.15</w:t>
                  </w:r>
                </w:p>
              </w:tc>
              <w:tc>
                <w:tcPr/>
                <w:p>
                  <w:pPr>
                    <w:pStyle w:val="Compact"/>
                    <w:jc w:val="center"/>
                  </w:pPr>
                  <w:r>
                    <w:t xml:space="preserve">0.15</w:t>
                  </w:r>
                </w:p>
              </w:tc>
              <w:tc>
                <w:tcPr/>
                <w:p>
                  <w:pPr>
                    <w:pStyle w:val="Compact"/>
                    <w:jc w:val="center"/>
                  </w:pPr>
                  <w:r>
                    <w:t xml:space="preserve">Platform</w:t>
                  </w:r>
                  <w:r>
                    <w:rPr>
                      <w:vertAlign w:val="superscript"/>
                    </w:rPr>
                    <w:t xml:space="preserve">a)</w:t>
                  </w:r>
                </w:p>
              </w:tc>
              <w:tc>
                <w:tcPr/>
                <w:p>
                  <w:pPr>
                    <w:pStyle w:val="Compact"/>
                    <w:jc w:val="center"/>
                  </w:pPr>
                  <w:r>
                    <w:t xml:space="preserve">PCR-006</w:t>
                  </w:r>
                </w:p>
              </w:tc>
            </w:tr>
            <w:tr>
              <w:tc>
                <w:tcPr>
                  <w:vMerge w:val="restart"/>
                </w:tcPr>
                <w:p>
                  <w:pPr>
                    <w:pStyle w:val="Compact"/>
                    <w:jc w:val="center"/>
                  </w:pPr>
                  <w:r>
                    <w:t xml:space="preserve">Cation exchange</w:t>
                  </w:r>
                </w:p>
              </w:tc>
              <w:tc>
                <w:tcPr/>
                <w:p>
                  <w:pPr>
                    <w:pStyle w:val="Compact"/>
                    <w:jc w:val="center"/>
                  </w:pPr>
                  <w:r>
                    <w:t xml:space="preserve">Host cell protein</w:t>
                  </w:r>
                </w:p>
              </w:tc>
              <w:tc>
                <w:tcPr>
                  <w:vMerge w:val="restart"/>
                </w:tcPr>
                <w:p>
                  <w:pPr>
                    <w:pStyle w:val="Compact"/>
                    <w:jc w:val="center"/>
                  </w:pPr>
                  <w:r>
                    <w:t xml:space="preserve">Lowest clearance fold</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Platform</w:t>
                  </w:r>
                  <w:r>
                    <w:rPr>
                      <w:vertAlign w:val="superscript"/>
                    </w:rPr>
                    <w:t xml:space="preserve">a)</w:t>
                  </w:r>
                </w:p>
              </w:tc>
              <w:tc>
                <w:tcPr/>
                <w:p>
                  <w:pPr>
                    <w:pStyle w:val="Compact"/>
                    <w:jc w:val="center"/>
                  </w:pPr>
                  <w:r>
                    <w:t xml:space="preserve">PCR-007</w:t>
                  </w:r>
                </w:p>
              </w:tc>
            </w:tr>
            <w:tr>
              <w:tc>
                <w:tcPr>
                  <w:gridSpan w:val="1"/>
                  <w:vMerge w:val="continue"/>
                </w:tcPr>
                <w:p>
                  <w:pPr/>
                </w:p>
              </w:tc>
              <w:tc>
                <w:tcPr/>
                <w:p>
                  <w:pPr>
                    <w:pStyle w:val="Compact"/>
                    <w:jc w:val="center"/>
                  </w:pPr>
                  <w:r>
                    <w:t xml:space="preserve">Fragments, LMW</w:t>
                  </w:r>
                </w:p>
              </w:tc>
              <w:tc>
                <w:tcPr>
                  <w:gridSpan w:val="1"/>
                  <w:vMerge w:val="continue"/>
                </w:tcPr>
                <w:p>
                  <w:pPr/>
                </w:p>
              </w:tc>
              <w:tc>
                <w:tcPr/>
                <w:p>
                  <w:pPr>
                    <w:pStyle w:val="Compact"/>
                    <w:jc w:val="center"/>
                  </w:pPr>
                  <w:r>
                    <w:t xml:space="preserve">1.30</w:t>
                  </w:r>
                </w:p>
              </w:tc>
              <w:tc>
                <w:tcPr/>
                <w:p>
                  <w:pPr>
                    <w:pStyle w:val="Compact"/>
                    <w:jc w:val="center"/>
                  </w:pPr>
                  <w:r>
                    <w:t xml:space="preserve">1.30</w:t>
                  </w:r>
                </w:p>
              </w:tc>
              <w:tc>
                <w:tcPr/>
                <w:p>
                  <w:pPr>
                    <w:pStyle w:val="Compact"/>
                    <w:jc w:val="center"/>
                  </w:pPr>
                  <w:r>
                    <w:t xml:space="preserve">Platform</w:t>
                  </w:r>
                  <w:r>
                    <w:rPr>
                      <w:vertAlign w:val="superscript"/>
                    </w:rPr>
                    <w:t xml:space="preserve">a)</w:t>
                  </w:r>
                </w:p>
              </w:tc>
              <w:tc>
                <w:tcPr/>
                <w:p>
                  <w:pPr>
                    <w:pStyle w:val="Compact"/>
                    <w:jc w:val="center"/>
                  </w:pPr>
                  <w:r>
                    <w:t xml:space="preserve">PCR-007</w:t>
                  </w:r>
                </w:p>
              </w:tc>
            </w:tr>
            <w:tr>
              <w:tc>
                <w:tcPr>
                  <w:gridSpan w:val="1"/>
                  <w:vMerge w:val="continue"/>
                </w:tcPr>
                <w:p>
                  <w:pPr/>
                </w:p>
              </w:tc>
              <w:tc>
                <w:tcPr/>
                <w:p>
                  <w:pPr>
                    <w:pStyle w:val="Compact"/>
                    <w:jc w:val="center"/>
                  </w:pPr>
                  <w:r>
                    <w:t xml:space="preserve">Leached Protein A</w:t>
                  </w:r>
                </w:p>
              </w:tc>
              <w:tc>
                <w:tcPr>
                  <w:gridSpan w:val="1"/>
                  <w:vMerge w:val="continue"/>
                </w:tcPr>
                <w:p>
                  <w:pPr/>
                </w:p>
              </w:tc>
              <w:tc>
                <w:tcPr/>
                <w:p>
                  <w:pPr>
                    <w:pStyle w:val="Compact"/>
                    <w:jc w:val="center"/>
                  </w:pPr>
                  <w:r>
                    <w:t xml:space="preserve">3.16</w:t>
                  </w:r>
                </w:p>
              </w:tc>
              <w:tc>
                <w:tcPr/>
                <w:p>
                  <w:pPr>
                    <w:pStyle w:val="Compact"/>
                    <w:jc w:val="center"/>
                  </w:pPr>
                  <w:r>
                    <w:t xml:space="preserve">3.16</w:t>
                  </w:r>
                </w:p>
              </w:tc>
              <w:tc>
                <w:tcPr/>
                <w:p>
                  <w:pPr>
                    <w:pStyle w:val="Compact"/>
                    <w:jc w:val="center"/>
                  </w:pPr>
                  <w:r>
                    <w:t xml:space="preserve">Platform</w:t>
                  </w:r>
                  <w:r>
                    <w:rPr>
                      <w:vertAlign w:val="superscript"/>
                    </w:rPr>
                    <w:t xml:space="preserve">b)</w:t>
                  </w:r>
                </w:p>
              </w:tc>
              <w:tc>
                <w:tcPr/>
                <w:p>
                  <w:pPr>
                    <w:pStyle w:val="Compact"/>
                    <w:jc w:val="center"/>
                  </w:pPr>
                  <w:r>
                    <w:t xml:space="preserve">not checked</w:t>
                  </w:r>
                </w:p>
              </w:tc>
            </w:tr>
            <w:tr>
              <w:tc>
                <w:tcPr>
                  <w:vMerge w:val="restart"/>
                </w:tcPr>
                <w:p>
                  <w:pPr>
                    <w:pStyle w:val="Compact"/>
                    <w:jc w:val="center"/>
                  </w:pPr>
                  <w:r>
                    <w:t xml:space="preserve">Anion exchange</w:t>
                  </w:r>
                </w:p>
              </w:tc>
              <w:tc>
                <w:tcPr/>
                <w:p>
                  <w:pPr>
                    <w:pStyle w:val="Compact"/>
                    <w:jc w:val="center"/>
                  </w:pPr>
                  <w:r>
                    <w:t xml:space="preserve">Host cell protein</w:t>
                  </w:r>
                </w:p>
              </w:tc>
              <w:tc>
                <w:tcPr>
                  <w:vMerge w:val="restart"/>
                </w:tcPr>
                <w:p>
                  <w:pPr>
                    <w:pStyle w:val="Compact"/>
                    <w:jc w:val="center"/>
                  </w:pPr>
                  <w:r>
                    <w:t xml:space="preserve">Lowest clearance fold</w:t>
                  </w:r>
                </w:p>
              </w:tc>
              <w:tc>
                <w:tcPr/>
                <w:p>
                  <w:pPr>
                    <w:pStyle w:val="Compact"/>
                    <w:jc w:val="center"/>
                  </w:pPr>
                  <w:r>
                    <w:t xml:space="preserve">4.00</w:t>
                  </w:r>
                </w:p>
              </w:tc>
              <w:tc>
                <w:tcPr/>
                <w:p>
                  <w:pPr>
                    <w:pStyle w:val="Compact"/>
                    <w:jc w:val="center"/>
                  </w:pPr>
                  <w:r>
                    <w:t xml:space="preserve">4.27</w:t>
                  </w:r>
                </w:p>
              </w:tc>
              <w:tc>
                <w:tcPr/>
                <w:p>
                  <w:pPr>
                    <w:pStyle w:val="Compact"/>
                    <w:jc w:val="center"/>
                  </w:pPr>
                  <w:r>
                    <w:t xml:space="preserve">Bound, widened</w:t>
                  </w:r>
                  <w:r>
                    <w:rPr>
                      <w:vertAlign w:val="superscript"/>
                    </w:rPr>
                    <w:t xml:space="preserve">c)</w:t>
                  </w:r>
                </w:p>
              </w:tc>
              <w:tc>
                <w:tcPr/>
                <w:p>
                  <w:pPr>
                    <w:pStyle w:val="Compact"/>
                    <w:jc w:val="center"/>
                  </w:pPr>
                  <w:r>
                    <w:t xml:space="preserve">PCR-008</w:t>
                  </w:r>
                </w:p>
              </w:tc>
            </w:tr>
            <w:tr>
              <w:tc>
                <w:tcPr>
                  <w:gridSpan w:val="1"/>
                  <w:vMerge w:val="continue"/>
                </w:tcPr>
                <w:p>
                  <w:pPr/>
                </w:p>
              </w:tc>
              <w:tc>
                <w:tcPr/>
                <w:p>
                  <w:pPr>
                    <w:pStyle w:val="Compact"/>
                    <w:jc w:val="center"/>
                  </w:pPr>
                  <w:r>
                    <w:t xml:space="preserve">Leached Protein A</w:t>
                  </w:r>
                </w:p>
              </w:tc>
              <w:tc>
                <w:tcPr>
                  <w:gridSpan w:val="1"/>
                  <w:vMerge w:val="continue"/>
                </w:tcPr>
                <w:p>
                  <w:pP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Platform</w:t>
                  </w:r>
                  <w:r>
                    <w:rPr>
                      <w:vertAlign w:val="superscript"/>
                    </w:rPr>
                    <w:t xml:space="preserve">b)</w:t>
                  </w:r>
                </w:p>
              </w:tc>
              <w:tc>
                <w:tcPr/>
                <w:p>
                  <w:pPr>
                    <w:pStyle w:val="Compact"/>
                    <w:jc w:val="center"/>
                  </w:pPr>
                  <w:r>
                    <w:t xml:space="preserve">not checked</w:t>
                  </w:r>
                </w:p>
              </w:tc>
            </w:tr>
            <w:tr>
              <w:tc>
                <w:tcPr>
                  <w:gridSpan w:val="7"/>
                </w:tcPr>
                <w:p>
                  <w:pPr>
                    <w:pStyle w:val="Compact"/>
                    <w:jc w:val="center"/>
                  </w:pPr>
                  <w:r>
                    <w:rPr>
                      <w:vertAlign w:val="superscript"/>
                    </w:rPr>
                    <w:t xml:space="preserve">a)</w:t>
                  </w:r>
                  <w:r>
                    <w:t xml:space="preserve"> </w:t>
                  </w:r>
                  <w:r>
                    <w:t xml:space="preserve">The A-Mab result confirmed the platform worst case, which stands.</w:t>
                  </w:r>
                </w:p>
              </w:tc>
            </w:tr>
            <w:tr>
              <w:tc>
                <w:tcPr>
                  <w:gridSpan w:val="7"/>
                </w:tcPr>
                <w:p>
                  <w:pPr>
                    <w:pStyle w:val="Compact"/>
                    <w:jc w:val="center"/>
                  </w:pPr>
                  <w:r>
                    <w:rPr>
                      <w:vertAlign w:val="superscript"/>
                    </w:rPr>
                    <w:t xml:space="preserve">b)</w:t>
                  </w:r>
                  <w:r>
                    <w:t xml:space="preserve"> </w:t>
                  </w:r>
                  <w:r>
                    <w:t xml:space="preserve">Not a response of the downstream designs, so the platform value cannot be checked in this campaign and stands.</w:t>
                  </w:r>
                </w:p>
              </w:tc>
            </w:tr>
            <w:tr>
              <w:tc>
                <w:tcPr>
                  <w:gridSpan w:val="7"/>
                </w:tcPr>
                <w:p>
                  <w:pPr>
                    <w:pStyle w:val="Compact"/>
                    <w:jc w:val="center"/>
                  </w:pPr>
                  <w:r>
                    <w:rPr>
                      <w:vertAlign w:val="superscript"/>
                    </w:rPr>
                    <w:t xml:space="preserve">c)</w:t>
                  </w:r>
                  <w:r>
                    <w:t xml:space="preserve"> </w:t>
                  </w:r>
                  <w:r>
                    <w:t xml:space="preserve">The one-sided 95 % prediction bound of a single batch at the A-Mab worst case within the NOR was better than the platform value, and the model meets the first three adequacy criteria of PCMP-001 and is not an exact fit. The bound replaced the platform value.</w:t>
                  </w:r>
                </w:p>
              </w:tc>
            </w:tr>
            <w:tr>
              <w:tc>
                <w:tcPr>
                  <w:gridSpan w:val="7"/>
                </w:tcPr>
                <w:p>
                  <w:pPr>
                    <w:pStyle w:val="Compact"/>
                    <w:jc w:val="center"/>
                  </w:pPr>
                  <w:r>
                    <w:t xml:space="preserve">Computed from unrounded values. A criterion recomputed from the rounded values shown can differ in its last digit.</w:t>
                  </w:r>
                </w:p>
              </w:tc>
            </w:tr>
          </w:tbl>
          <w:bookmarkEnd w:id="53"/>
          <w:p/>
        </w:tc>
      </w:tr>
    </w:tbl>
    <w:bookmarkEnd w:id="54"/>
    <w:bookmarkStart w:id="55" w:name="sec-par-analyses"/>
    <w:p>
      <w:pPr>
        <w:pStyle w:val="Heading2"/>
      </w:pPr>
      <w:r>
        <w:t xml:space="preserve">8.2 The two analyses</w:t>
      </w:r>
    </w:p>
    <w:p>
      <w:pPr>
        <w:pStyle w:val="FirstParagraph"/>
      </w:pPr>
      <w:r>
        <w:t xml:space="preserve">A PAR is computed for each attribute of</w:t>
      </w:r>
      <w:r>
        <w:t xml:space="preserve"> </w:t>
      </w:r>
      <w:hyperlink w:anchor="tbl-outcrit">
        <w:r>
          <w:rPr>
            <w:rStyle w:val="Hyperlink"/>
          </w:rPr>
          <w:t xml:space="preserve">Table 9</w:t>
        </w:r>
      </w:hyperlink>
      <w:r>
        <w:t xml:space="preserve"> </w:t>
      </w:r>
      <w:r>
        <w:t xml:space="preserve">that has a criterion and for each of the 4 factors of the response-surface model. Two analyses are run, as PCMP-001 defines them for proven acceptable ranges. In both, a prediction of pool host cell protein or leached Protein A is translated to manufacturing scale by subtracting its offset before it is compared with the criterion (</w:t>
      </w:r>
      <w:hyperlink w:anchor="sec-sdm">
        <w:r>
          <w:rPr>
            <w:rStyle w:val="Hyperlink"/>
          </w:rPr>
          <w:t xml:space="preserve">Section 5.1</w:t>
        </w:r>
      </w:hyperlink>
      <w:r>
        <w:t xml:space="preserve">).</w:t>
      </w:r>
    </w:p>
    <w:p>
      <w:pPr>
        <w:pStyle w:val="Compact"/>
        <w:numPr>
          <w:ilvl w:val="0"/>
          <w:numId w:val="1008"/>
        </w:numPr>
      </w:pPr>
      <w:r>
        <w:t xml:space="preserve">The set-point analysis is a one-factor scan of the model’s mean prediction. It holds the other factors at their set-points and scans the factor across its range studied. The PAR is the contiguous range around the set-point over which the mean prediction of the response-surface model meets the criterion.</w:t>
      </w:r>
    </w:p>
    <w:p>
      <w:pPr>
        <w:pStyle w:val="Compact"/>
        <w:numPr>
          <w:ilvl w:val="0"/>
          <w:numId w:val="1008"/>
        </w:numPr>
      </w:pPr>
      <w:r>
        <w:t xml:space="preserve">The NOR-propagated analysis is a Monte Carlo simulation in which the other factors vary as they would in routine operation. It scans the factor at 81 grid points across its range studied. At each grid point it draws 2,000 operating points for the other factors. Each factor is drawn from a normal distribution centred on its set-point, with a standard deviation of one sixth of the width of its NOR, and clipped to the range studied. The model residual and the uncertainty of the fitted coefficients are included. The PAR is the contiguous range around the set-point over which the 95 % prediction interval of a single batch meets the criterion.</w:t>
      </w:r>
    </w:p>
    <w:p>
      <w:pPr>
        <w:pStyle w:val="FirstParagraph"/>
      </w:pPr>
      <w:r>
        <w:t xml:space="preserve">The NOR-propagated PAR is the one that supports a claim. It is in general narrower than the set-point PAR, because the range must hold while the rest of the operating point moves within its NOR. A response-surface model predicts the mean response, and at the edge of a region defined on mean predictions a single batch meets its criterion only about half the time</w:t>
      </w:r>
      <w:r>
        <w:t xml:space="preserve"> </w:t>
      </w:r>
      <w:r>
        <w:t xml:space="preserve">(CMC Biotech Working Group 2009)</w:t>
      </w:r>
      <w:r>
        <w:t xml:space="preserve">.</w:t>
      </w:r>
    </w:p>
    <w:bookmarkEnd w:id="55"/>
    <w:bookmarkStart w:id="56" w:name="sec-par-rule"/>
    <w:p>
      <w:pPr>
        <w:pStyle w:val="Heading2"/>
      </w:pPr>
      <w:r>
        <w:t xml:space="preserve">8.3 Decision rule and reporting</w:t>
      </w:r>
    </w:p>
    <w:p>
      <w:pPr>
        <w:pStyle w:val="FirstParagraph"/>
      </w:pPr>
      <w:r>
        <w:t xml:space="preserve">A parameter that affects several attributes has a PAR for each, and the range carried into the control strategy is their intersection. Where the set-point itself fails a criterion, PCR-005 reports that no PAR exists for that attribute and states the consequence for the NOR. A PAR that reaches the edge of the range studied is reported as reaching it, and no claim is made beyond it.</w:t>
      </w:r>
    </w:p>
    <w:p>
      <w:pPr>
        <w:pStyle w:val="BodyText"/>
      </w:pPr>
      <w:r>
        <w:t xml:space="preserve">PCR-005 reports both analyses for every attribute and factor in one table. For each attribute with a criterion it shows, as a two-panel figure, the PAR of the factor with the largest main effect on that attribute in the response-surface model. The left panel shows the set-point analysis and the right panel the NOR-propagated analysis, with the region that meets the criterion shaded green. The univariate parameters have no model-based PAR. The ranges of operating temperature and bed height are supported by the measured responses against the same criteria at each end of the range studied.</w:t>
      </w:r>
    </w:p>
    <w:p>
      <w:pPr>
        <w:pStyle w:val="BodyText"/>
      </w:pPr>
      <w:r>
        <w:t xml:space="preserve">A proven acceptable range is a univariate statement and does not replace the operating region of</w:t>
      </w:r>
      <w:r>
        <w:t xml:space="preserve"> </w:t>
      </w:r>
      <w:hyperlink w:anchor="sec-criteria">
        <w:r>
          <w:rPr>
            <w:rStyle w:val="Hyperlink"/>
          </w:rPr>
          <w:t xml:space="preserve">Section 7</w:t>
        </w:r>
      </w:hyperlink>
      <w:r>
        <w:t xml:space="preserve">. Two parameters may each sit inside their own proven acceptable range while their combination sits outside the multivariate region. Where the two disagree, the multivariate region takes precedence, and the proven acceptable ranges will be reported as supporting information for excursion assessment.</w:t>
      </w:r>
    </w:p>
    <w:bookmarkEnd w:id="56"/>
    <w:bookmarkEnd w:id="57"/>
    <w:bookmarkStart w:id="58" w:name="sec-data"/>
    <w:p>
      <w:pPr>
        <w:pStyle w:val="Heading1"/>
      </w:pPr>
      <w:r>
        <w:t xml:space="preserve">9. Data management and integrity</w:t>
      </w:r>
    </w:p>
    <w:p>
      <w:pPr>
        <w:pStyle w:val="FirstParagraph"/>
      </w:pPr>
      <w:r>
        <w:t xml:space="preserve">All data are recorded to ALCOA+ principles. Run records are kept in the electronic laboratory notebook, and analytical results in the laboratory information management system of Analytical Development. The design files and the analysis scripts are held under version control, and every model in PCR-005 is reproducible from the recorded data and the script version.</w:t>
      </w:r>
    </w:p>
    <w:p>
      <w:pPr>
        <w:pStyle w:val="BodyText"/>
      </w:pPr>
      <w:r>
        <w:t xml:space="preserve">Each result is second-person verified before it enters the analysis. An excluded result is reported with the reason, and no result is excluded on the basis of its value alone. The execution dates of every study and the calibration status of any instrumented equipment are recorded in the study record. Results obtained before AMD-001, and the SEC fragment results of the screening design, stay in the record with their status marked.</w:t>
      </w:r>
    </w:p>
    <w:bookmarkEnd w:id="58"/>
    <w:bookmarkStart w:id="60" w:name="sec-roles"/>
    <w:p>
      <w:pPr>
        <w:pStyle w:val="Heading1"/>
      </w:pPr>
      <w:r>
        <w:t xml:space="preserve">10. Roles and responsibilities</w:t>
      </w:r>
    </w:p>
    <w:p>
      <w:pPr>
        <w:pStyle w:val="FirstParagraph"/>
      </w:pPr>
      <w:hyperlink w:anchor="tbl-roles">
        <w:r>
          <w:rPr>
            <w:rStyle w:val="Hyperlink"/>
          </w:rPr>
          <w:t xml:space="preserve">Table 12</w:t>
        </w:r>
      </w:hyperlink>
      <w:r>
        <w:t xml:space="preserve"> </w:t>
      </w:r>
      <w:r>
        <w:t xml:space="preserve">gives the responsibility of each function for this plan.</w:t>
      </w:r>
    </w:p>
    <w:tbl>
      <w:tblPr>
        <w:tblStyle w:val="Table"/>
        <w:tblW w:type="pct" w:w="5000"/>
        <w:tblLayout w:type="fixed"/>
        <w:tblLook w:firstRow="0" w:lastRow="0" w:firstColumn="0" w:lastColumn="0" w:noHBand="0" w:noVBand="0" w:val="0000"/>
      </w:tblPr>
      <w:tblGrid>
        <w:gridCol w:w="7920"/>
      </w:tblGrid>
      <w:tr>
        <w:tc>
          <w:tcPr/>
          <w:bookmarkStart w:id="59" w:name="tbl-roles"/>
          <w:p>
            <w:pPr>
              <w:jc w:val="center"/>
            </w:pPr>
            <w:pPr>
              <w:jc w:val="start"/>
              <w:spacing w:before="200"/>
              <w:pStyle w:val="ImageCaption"/>
            </w:pPr>
            <w:r>
              <w:t xml:space="preserve">Table 12: Responsibilities of the functions for this plan.</w:t>
            </w:r>
          </w:p>
          <w:tbl>
            <w:tblPr>
              <w:tblStyle w:val="Table"/>
              <w:tblW w:type="pct" w:w="5000"/>
              <w:tblLayout w:type="fixed"/>
              <w:tblLook w:firstRow="1" w:lastRow="0" w:firstColumn="0" w:lastColumn="0" w:noHBand="0" w:noVBand="0" w:val="0020"/>
            </w:tblPr>
            <w:tblGrid>
              <w:gridCol w:w="1440"/>
              <w:gridCol w:w="6480"/>
            </w:tblGrid>
            <w:tr>
              <w:trPr>
                <w:tblHeader w:val="on"/>
              </w:trPr>
              <w:tc>
                <w:tcPr/>
                <w:p>
                  <w:pPr>
                    <w:pStyle w:val="Compact"/>
                    <w:jc w:val="left"/>
                    <w:jc w:val="center"/>
                  </w:pPr>
                  <w:r>
                    <w:t xml:space="preserve">Function</w:t>
                  </w:r>
                </w:p>
              </w:tc>
              <w:tc>
                <w:tcPr/>
                <w:p>
                  <w:pPr>
                    <w:pStyle w:val="Compact"/>
                    <w:jc w:val="left"/>
                    <w:jc w:val="center"/>
                  </w:pPr>
                  <w:r>
                    <w:t xml:space="preserve">Responsibility</w:t>
                  </w:r>
                </w:p>
              </w:tc>
            </w:tr>
            <w:tr>
              <w:tc>
                <w:tcPr/>
                <w:p>
                  <w:pPr>
                    <w:pStyle w:val="Compact"/>
                    <w:jc w:val="left"/>
                    <w:jc w:val="center"/>
                  </w:pPr>
                  <w:r>
                    <w:t xml:space="preserve">Process Development / MSAT</w:t>
                  </w:r>
                </w:p>
              </w:tc>
              <w:tc>
                <w:tcPr/>
                <w:p>
                  <w:pPr>
                    <w:pStyle w:val="Compact"/>
                    <w:jc w:val="left"/>
                    <w:jc w:val="center"/>
                  </w:pPr>
                  <w:r>
                    <w:t xml:space="preserve">Author of this plan and of PCR-005. Executes the runs and the scale-down model qualification.</w:t>
                  </w:r>
                </w:p>
              </w:tc>
            </w:tr>
            <w:tr>
              <w:tc>
                <w:tcPr/>
                <w:p>
                  <w:pPr>
                    <w:pStyle w:val="Compact"/>
                    <w:jc w:val="left"/>
                    <w:jc w:val="center"/>
                  </w:pPr>
                  <w:r>
                    <w:t xml:space="preserve">Analytical Development</w:t>
                  </w:r>
                </w:p>
              </w:tc>
              <w:tc>
                <w:tcPr/>
                <w:p>
                  <w:pPr>
                    <w:pStyle w:val="Compact"/>
                    <w:jc w:val="left"/>
                    <w:jc w:val="center"/>
                  </w:pPr>
                  <w:r>
                    <w:t xml:space="preserve">Runs the methods of the analytical methods table, the retest of retained samples and sample management.</w:t>
                  </w:r>
                </w:p>
              </w:tc>
            </w:tr>
            <w:tr>
              <w:tc>
                <w:tcPr/>
                <w:p>
                  <w:pPr>
                    <w:pStyle w:val="Compact"/>
                    <w:jc w:val="left"/>
                    <w:jc w:val="center"/>
                  </w:pPr>
                  <w:r>
                    <w:t xml:space="preserve">Manufacturing Science</w:t>
                  </w:r>
                </w:p>
              </w:tc>
              <w:tc>
                <w:tcPr/>
                <w:p>
                  <w:pPr>
                    <w:pStyle w:val="Compact"/>
                    <w:jc w:val="left"/>
                    <w:jc w:val="center"/>
                  </w:pPr>
                  <w:r>
                    <w:t xml:space="preserve">Supplies the manufacturing-scale data for the offsets of the scale-down model and reviews transfer of the ranges to Grafton.</w:t>
                  </w:r>
                </w:p>
              </w:tc>
            </w:tr>
            <w:tr>
              <w:tc>
                <w:tcPr/>
                <w:p>
                  <w:pPr>
                    <w:pStyle w:val="Compact"/>
                    <w:jc w:val="left"/>
                    <w:jc w:val="center"/>
                  </w:pPr>
                  <w:r>
                    <w:t xml:space="preserve">Statistics</w:t>
                  </w:r>
                </w:p>
              </w:tc>
              <w:tc>
                <w:tcPr/>
                <w:p>
                  <w:pPr>
                    <w:pStyle w:val="Compact"/>
                    <w:jc w:val="left"/>
                    <w:jc w:val="center"/>
                  </w:pPr>
                  <w:r>
                    <w:t xml:space="preserve">Reviews the designs, the models, the adequacy criteria, the offsets and the PAR analysis.</w:t>
                  </w:r>
                </w:p>
              </w:tc>
            </w:tr>
            <w:tr>
              <w:tc>
                <w:tcPr/>
                <w:p>
                  <w:pPr>
                    <w:pStyle w:val="Compact"/>
                    <w:jc w:val="left"/>
                    <w:jc w:val="center"/>
                  </w:pPr>
                  <w:r>
                    <w:t xml:space="preserve">Quality Assurance</w:t>
                  </w:r>
                </w:p>
              </w:tc>
              <w:tc>
                <w:tcPr/>
                <w:p>
                  <w:pPr>
                    <w:pStyle w:val="Compact"/>
                    <w:jc w:val="left"/>
                    <w:jc w:val="center"/>
                  </w:pPr>
                  <w:r>
                    <w:t xml:space="preserve">Approves this plan and PCR-005, and closes the actions of INV-001 that concern this step.</w:t>
                  </w:r>
                </w:p>
              </w:tc>
            </w:tr>
          </w:tbl>
          <w:bookmarkEnd w:id="59"/>
          <w:p/>
        </w:tc>
      </w:tr>
    </w:tbl>
    <w:bookmarkEnd w:id="60"/>
    <w:bookmarkStart w:id="62" w:name="sec-deliverables"/>
    <w:p>
      <w:pPr>
        <w:pStyle w:val="Heading1"/>
      </w:pPr>
      <w:r>
        <w:t xml:space="preserve">11. Deliverables and schedule</w:t>
      </w:r>
    </w:p>
    <w:p>
      <w:pPr>
        <w:pStyle w:val="FirstParagraph"/>
      </w:pPr>
      <w:r>
        <w:t xml:space="preserve">The deliverable of this plan is PCR-005, the Process Characterization Report for the Protein A step, with its ground-truth annex. PCR-005 reports the offsets and the qualification of the scale-down model, both designs, the univariate studies and the PARs, and it proposes the classification of every parameter. It rolls up into PCMR-001.</w:t>
      </w:r>
    </w:p>
    <w:p>
      <w:pPr>
        <w:pStyle w:val="BodyText"/>
      </w:pPr>
      <w:r>
        <w:t xml:space="preserve">The work will be executed in five phases and in the order given. The qualification runs of the scale-down model are made first, and the offsets are estimated from them. The screening design is executed and analysed second. The response-surface design is executed third, and it will not begin until the screening data have been reviewed. The univariate assessments are executed fourth and may run in parallel with the response-surface design, since they share no equipment constraint with it. The analysis and the report are completed last. As in Version 1.0, no calendar dates are fixed in this plan. The sequence above is the binding commitment, and the schedule is held in the project plan under PTP-001.</w:t>
      </w:r>
      <w:r>
        <w:t xml:space="preserve"> </w:t>
      </w:r>
      <w:hyperlink w:anchor="tbl-chrono">
        <w:r>
          <w:rPr>
            <w:rStyle w:val="Hyperlink"/>
          </w:rPr>
          <w:t xml:space="preserve">Table 13</w:t>
        </w:r>
      </w:hyperlink>
      <w:r>
        <w:t xml:space="preserve"> </w:t>
      </w:r>
      <w:r>
        <w:t xml:space="preserve">records the execution window of each study, as INV-001 preventive action PA3 requires, because INV-001 found that the Version 1.0 records gave none (finding 5).</w:t>
      </w:r>
    </w:p>
    <w:tbl>
      <w:tblPr>
        <w:tblStyle w:val="Table"/>
        <w:tblW w:type="pct" w:w="5000"/>
        <w:tblLayout w:type="fixed"/>
        <w:tblLook w:firstRow="0" w:lastRow="0" w:firstColumn="0" w:lastColumn="0" w:noHBand="0" w:noVBand="0" w:val="0000"/>
      </w:tblPr>
      <w:tblGrid>
        <w:gridCol w:w="7920"/>
      </w:tblGrid>
      <w:tr>
        <w:tc>
          <w:tcPr/>
          <w:bookmarkStart w:id="61" w:name="tbl-chrono"/>
          <w:p>
            <w:pPr>
              <w:jc w:val="center"/>
            </w:pPr>
            <w:pPr>
              <w:jc w:val="start"/>
              <w:spacing w:before="200"/>
              <w:pStyle w:val="ImageCaption"/>
            </w:pPr>
            <w:r>
              <w:t xml:space="preserve">Table 13: Execution window of each study of the Protein A step governed by this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Study</w:t>
                  </w:r>
                </w:p>
              </w:tc>
              <w:tc>
                <w:tcPr/>
                <w:p>
                  <w:pPr>
                    <w:pStyle w:val="Compact"/>
                    <w:jc w:val="left"/>
                    <w:jc w:val="center"/>
                  </w:pPr>
                  <w:r>
                    <w:t xml:space="preserve">Study type</w:t>
                  </w:r>
                </w:p>
              </w:tc>
              <w:tc>
                <w:tcPr/>
                <w:p>
                  <w:pPr>
                    <w:pStyle w:val="Compact"/>
                    <w:jc w:val="left"/>
                    <w:jc w:val="center"/>
                  </w:pPr>
                  <w:r>
                    <w:t xml:space="preserve">Start</w:t>
                  </w:r>
                </w:p>
              </w:tc>
              <w:tc>
                <w:tcPr/>
                <w:p>
                  <w:pPr>
                    <w:pStyle w:val="Compact"/>
                    <w:jc w:val="left"/>
                    <w:jc w:val="center"/>
                  </w:pPr>
                  <w:r>
                    <w:t xml:space="preserve">End</w:t>
                  </w:r>
                </w:p>
              </w:tc>
            </w:tr>
            <w:tr>
              <w:tc>
                <w:tcPr/>
                <w:p>
                  <w:pPr>
                    <w:pStyle w:val="Compact"/>
                    <w:jc w:val="left"/>
                    <w:jc w:val="center"/>
                  </w:pPr>
                  <w:r>
                    <w:t xml:space="preserve">S-PA-SDM</w:t>
                  </w:r>
                </w:p>
              </w:tc>
              <w:tc>
                <w:tcPr/>
                <w:p>
                  <w:pPr>
                    <w:pStyle w:val="Compact"/>
                    <w:jc w:val="left"/>
                    <w:jc w:val="center"/>
                  </w:pPr>
                  <w:r>
                    <w:t xml:space="preserve">scale-down model qualification</w:t>
                  </w:r>
                </w:p>
              </w:tc>
              <w:tc>
                <w:tcPr/>
                <w:p>
                  <w:pPr>
                    <w:pStyle w:val="Compact"/>
                    <w:jc w:val="left"/>
                    <w:jc w:val="center"/>
                  </w:pPr>
                  <w:r>
                    <w:t xml:space="preserve">2025-11-05</w:t>
                  </w:r>
                </w:p>
              </w:tc>
              <w:tc>
                <w:tcPr/>
                <w:p>
                  <w:pPr>
                    <w:pStyle w:val="Compact"/>
                    <w:jc w:val="left"/>
                    <w:jc w:val="center"/>
                  </w:pPr>
                  <w:r>
                    <w:t xml:space="preserve">2025-11-14</w:t>
                  </w:r>
                </w:p>
              </w:tc>
            </w:tr>
            <w:tr>
              <w:tc>
                <w:tcPr/>
                <w:p>
                  <w:pPr>
                    <w:pStyle w:val="Compact"/>
                    <w:jc w:val="left"/>
                    <w:jc w:val="center"/>
                  </w:pPr>
                  <w:r>
                    <w:t xml:space="preserve">S-PA-SCR</w:t>
                  </w:r>
                </w:p>
              </w:tc>
              <w:tc>
                <w:tcPr/>
                <w:p>
                  <w:pPr>
                    <w:pStyle w:val="Compact"/>
                    <w:jc w:val="left"/>
                    <w:jc w:val="center"/>
                  </w:pPr>
                  <w:r>
                    <w:t xml:space="preserve">screening design</w:t>
                  </w:r>
                </w:p>
              </w:tc>
              <w:tc>
                <w:tcPr/>
                <w:p>
                  <w:pPr>
                    <w:pStyle w:val="Compact"/>
                    <w:jc w:val="left"/>
                    <w:jc w:val="center"/>
                  </w:pPr>
                  <w:r>
                    <w:t xml:space="preserve">2025-11-17</w:t>
                  </w:r>
                </w:p>
              </w:tc>
              <w:tc>
                <w:tcPr/>
                <w:p>
                  <w:pPr>
                    <w:pStyle w:val="Compact"/>
                    <w:jc w:val="left"/>
                    <w:jc w:val="center"/>
                  </w:pPr>
                  <w:r>
                    <w:t xml:space="preserve">2025-12-05</w:t>
                  </w:r>
                </w:p>
              </w:tc>
            </w:tr>
            <w:tr>
              <w:tc>
                <w:tcPr/>
                <w:p>
                  <w:pPr>
                    <w:pStyle w:val="Compact"/>
                    <w:jc w:val="left"/>
                    <w:jc w:val="center"/>
                  </w:pPr>
                  <w:r>
                    <w:t xml:space="preserve">S-PA-UNI</w:t>
                  </w:r>
                </w:p>
              </w:tc>
              <w:tc>
                <w:tcPr/>
                <w:p>
                  <w:pPr>
                    <w:pStyle w:val="Compact"/>
                    <w:jc w:val="left"/>
                    <w:jc w:val="center"/>
                  </w:pPr>
                  <w:r>
                    <w:t xml:space="preserve">univariate study</w:t>
                  </w:r>
                </w:p>
              </w:tc>
              <w:tc>
                <w:tcPr/>
                <w:p>
                  <w:pPr>
                    <w:pStyle w:val="Compact"/>
                    <w:jc w:val="left"/>
                    <w:jc w:val="center"/>
                  </w:pPr>
                  <w:r>
                    <w:t xml:space="preserve">2025-12-08</w:t>
                  </w:r>
                </w:p>
              </w:tc>
              <w:tc>
                <w:tcPr/>
                <w:p>
                  <w:pPr>
                    <w:pStyle w:val="Compact"/>
                    <w:jc w:val="left"/>
                    <w:jc w:val="center"/>
                  </w:pPr>
                  <w:r>
                    <w:t xml:space="preserve">2025-12-12</w:t>
                  </w:r>
                </w:p>
              </w:tc>
            </w:tr>
            <w:tr>
              <w:tc>
                <w:tcPr/>
                <w:p>
                  <w:pPr>
                    <w:pStyle w:val="Compact"/>
                    <w:jc w:val="left"/>
                    <w:jc w:val="center"/>
                  </w:pPr>
                  <w:r>
                    <w:t xml:space="preserve">S-PA-RSM</w:t>
                  </w:r>
                </w:p>
              </w:tc>
              <w:tc>
                <w:tcPr/>
                <w:p>
                  <w:pPr>
                    <w:pStyle w:val="Compact"/>
                    <w:jc w:val="left"/>
                    <w:jc w:val="center"/>
                  </w:pPr>
                  <w:r>
                    <w:t xml:space="preserve">response-surface design</w:t>
                  </w:r>
                </w:p>
              </w:tc>
              <w:tc>
                <w:tcPr/>
                <w:p>
                  <w:pPr>
                    <w:pStyle w:val="Compact"/>
                    <w:jc w:val="left"/>
                    <w:jc w:val="center"/>
                  </w:pPr>
                  <w:r>
                    <w:t xml:space="preserve">2026-01-12</w:t>
                  </w:r>
                </w:p>
              </w:tc>
              <w:tc>
                <w:tcPr/>
                <w:p>
                  <w:pPr>
                    <w:pStyle w:val="Compact"/>
                    <w:jc w:val="left"/>
                    <w:jc w:val="center"/>
                  </w:pPr>
                  <w:r>
                    <w:t xml:space="preserve">2026-02-06</w:t>
                  </w:r>
                </w:p>
              </w:tc>
            </w:tr>
            <w:tr>
              <w:tc>
                <w:tcPr/>
                <w:p>
                  <w:pPr>
                    <w:pStyle w:val="Compact"/>
                    <w:jc w:val="left"/>
                    <w:jc w:val="center"/>
                  </w:pPr>
                  <w:r>
                    <w:t xml:space="preserve">S-PA-RET</w:t>
                  </w:r>
                </w:p>
              </w:tc>
              <w:tc>
                <w:tcPr/>
                <w:p>
                  <w:pPr>
                    <w:pStyle w:val="Compact"/>
                    <w:jc w:val="left"/>
                    <w:jc w:val="center"/>
                  </w:pPr>
                  <w:r>
                    <w:t xml:space="preserve">retest of retained samples</w:t>
                  </w:r>
                </w:p>
              </w:tc>
              <w:tc>
                <w:tcPr/>
                <w:p>
                  <w:pPr>
                    <w:pStyle w:val="Compact"/>
                    <w:jc w:val="left"/>
                    <w:jc w:val="center"/>
                  </w:pPr>
                  <w:r>
                    <w:t xml:space="preserve">2026-04-06</w:t>
                  </w:r>
                </w:p>
              </w:tc>
              <w:tc>
                <w:tcPr/>
                <w:p>
                  <w:pPr>
                    <w:pStyle w:val="Compact"/>
                    <w:jc w:val="left"/>
                    <w:jc w:val="center"/>
                  </w:pPr>
                  <w:r>
                    <w:t xml:space="preserve">2026-04-17</w:t>
                  </w:r>
                </w:p>
              </w:tc>
            </w:tr>
          </w:tbl>
          <w:bookmarkEnd w:id="61"/>
          <w:p/>
        </w:tc>
      </w:tr>
    </w:tbl>
    <w:bookmarkEnd w:id="62"/>
    <w:bookmarkStart w:id="63" w:name="sec-risks"/>
    <w:p>
      <w:pPr>
        <w:pStyle w:val="Heading1"/>
      </w:pPr>
      <w:r>
        <w:t xml:space="preserve">12. Risks and assumptions</w:t>
      </w:r>
    </w:p>
    <w:p>
      <w:pPr>
        <w:pStyle w:val="FirstParagraph"/>
      </w:pPr>
      <w:r>
        <w:t xml:space="preserve">The studies carry the following risks and rest on the following assumptions.</w:t>
      </w:r>
    </w:p>
    <w:p>
      <w:pPr>
        <w:pStyle w:val="Compact"/>
        <w:numPr>
          <w:ilvl w:val="0"/>
          <w:numId w:val="1009"/>
        </w:numPr>
      </w:pPr>
      <w:r>
        <w:t xml:space="preserve">The scale-down model represents the commercial column within a known offset. For pool host cell protein and leached Protein A this is tested by the qualification rule of</w:t>
      </w:r>
      <w:r>
        <w:t xml:space="preserve"> </w:t>
      </w:r>
      <w:hyperlink w:anchor="sec-sdm">
        <w:r>
          <w:rPr>
            <w:rStyle w:val="Hyperlink"/>
          </w:rPr>
          <w:t xml:space="preserve">Section 5.1</w:t>
        </w:r>
      </w:hyperlink>
      <w:r>
        <w:t xml:space="preserve">. With 3 scale-down runs and 5 manufacturing batches the confidence interval of an offset may be wide. If the conclusion for one of these attributes then differs between the two ends of its interval, the model is not used for it, and its ranges cannot be set from the designs. For fragments the model rests on mechanism, because capture depends on bed height and residence time, and hinge hydrolysis on pH, time and temperature, all of which the model keeps at commercial values. The qualification has no fragment result at either scale with which to confirm this directly.</w:t>
      </w:r>
    </w:p>
    <w:p>
      <w:pPr>
        <w:pStyle w:val="Compact"/>
        <w:numPr>
          <w:ilvl w:val="0"/>
          <w:numId w:val="1009"/>
        </w:numPr>
      </w:pPr>
      <w:r>
        <w:t xml:space="preserve">Leached Protein A is expected to be lower in the laboratory column than at manufacturing scale, because the manufacturing load is held longer before capture (</w:t>
      </w:r>
      <w:hyperlink w:anchor="sec-uo">
        <w:r>
          <w:rPr>
            <w:rStyle w:val="Hyperlink"/>
          </w:rPr>
          <w:t xml:space="preserve">Section 4.1</w:t>
        </w:r>
      </w:hyperlink>
      <w:r>
        <w:t xml:space="preserve">, item 3). This difference is the offset of leached Protein A, and it is subtracted before any result for leached Protein A is judged.</w:t>
      </w:r>
    </w:p>
    <w:p>
      <w:pPr>
        <w:pStyle w:val="Compact"/>
        <w:numPr>
          <w:ilvl w:val="0"/>
          <w:numId w:val="1009"/>
        </w:numPr>
      </w:pPr>
      <w:r>
        <w:t xml:space="preserve">Each design uses one feed. The effect of feed host cell protein, titre and viability on the step is not estimated here. The case study reports that Protein A capture is robust over a wide range of feed inputs</w:t>
      </w:r>
      <w:r>
        <w:t xml:space="preserve"> </w:t>
      </w:r>
      <w:r>
        <w:t xml:space="preserve">(CMC Biotech Working Group 2009)</w:t>
      </w:r>
      <w:r>
        <w:t xml:space="preserve">, and the feed is characterized in PCP-003 and PCP-004.</w:t>
      </w:r>
    </w:p>
    <w:p>
      <w:pPr>
        <w:pStyle w:val="Compact"/>
        <w:numPr>
          <w:ilvl w:val="0"/>
          <w:numId w:val="1009"/>
        </w:numPr>
      </w:pPr>
      <w:r>
        <w:t xml:space="preserve">The criteria of this step rest on the downstream values of</w:t>
      </w:r>
      <w:r>
        <w:t xml:space="preserve"> </w:t>
      </w:r>
      <w:hyperlink w:anchor="tbl-worstcase">
        <w:r>
          <w:rPr>
            <w:rStyle w:val="Hyperlink"/>
          </w:rPr>
          <w:t xml:space="preserve">Table 11</w:t>
        </w:r>
      </w:hyperlink>
      <w:r>
        <w:t xml:space="preserve">. If the verification of a downstream step changes one of them before PCR-005 is approved, PCR-005 uses the criterion then in force.</w:t>
      </w:r>
    </w:p>
    <w:p>
      <w:pPr>
        <w:pStyle w:val="Compact"/>
        <w:numPr>
          <w:ilvl w:val="0"/>
          <w:numId w:val="1009"/>
        </w:numPr>
      </w:pPr>
      <w:r>
        <w:t xml:space="preserve">Fragments by nrCE-SDS rest on the retained pools of the response-surface design. If a retained pool is lost or found unsuitable, that run has no nrCE-SDS result. The fragment model is then fitted to the remaining runs only if the design still supports it, and otherwise fragments are reported descriptively.</w:t>
      </w:r>
    </w:p>
    <w:p>
      <w:pPr>
        <w:pStyle w:val="Compact"/>
        <w:numPr>
          <w:ilvl w:val="0"/>
          <w:numId w:val="1009"/>
        </w:numPr>
      </w:pPr>
      <w:r>
        <w:t xml:space="preserve">Supply of clarified harvest and resin may limit the number of runs. The designs are executed in full before analysis, and no run is dropped to save material.</w:t>
      </w:r>
    </w:p>
    <w:bookmarkEnd w:id="63"/>
    <w:bookmarkStart w:id="64" w:name="sec-approvals"/>
    <w:p>
      <w:pPr>
        <w:pStyle w:val="Heading1"/>
      </w:pPr>
      <w:r>
        <w:t xml:space="preserve">13. Approvals</w:t>
      </w:r>
    </w:p>
    <w:p>
      <w:pPr>
        <w:pStyle w:val="FirstParagraph"/>
      </w:pPr>
      <w:r>
        <w:t xml:space="preserve">This plan is approved by the functions listed in the approval record at the front of this document. Version 2.0 takes effect on 2026-09-30. It replaces Version 1.0 for the analysis and the reporting of the studies of the step.</w:t>
      </w:r>
    </w:p>
    <w:bookmarkEnd w:id="64"/>
    <w:bookmarkStart w:id="66" w:name="sec-appa"/>
    <w:p>
      <w:pPr>
        <w:pStyle w:val="Heading1"/>
      </w:pPr>
      <w:r>
        <w:t xml:space="preserve">Appendix A. Planned screening design</w:t>
      </w:r>
    </w:p>
    <w:p>
      <w:pPr>
        <w:pStyle w:val="FirstParagraph"/>
      </w:pPr>
      <w:hyperlink w:anchor="tbl-appa">
        <w:r>
          <w:rPr>
            <w:rStyle w:val="Hyperlink"/>
          </w:rPr>
          <w:t xml:space="preserve">Table 14</w:t>
        </w:r>
      </w:hyperlink>
      <w:r>
        <w:t xml:space="preserve"> </w:t>
      </w:r>
      <w:r>
        <w:t xml:space="preserve">gives the planned screening design (study S-PA-SCR) in coded units. The factor codes are those of</w:t>
      </w:r>
      <w:r>
        <w:t xml:space="preserve"> </w:t>
      </w:r>
      <w:hyperlink w:anchor="tbl-legend">
        <w:r>
          <w:rPr>
            <w:rStyle w:val="Hyperlink"/>
          </w:rPr>
          <w:t xml:space="preserve">Table 8</w:t>
        </w:r>
      </w:hyperlink>
      <w:r>
        <w:t xml:space="preserve">. Runs are listed in standard order, grouped by run type, and executed in random order.</w:t>
      </w:r>
    </w:p>
    <w:tbl>
      <w:tblPr>
        <w:tblStyle w:val="Table"/>
        <w:tblW w:type="pct" w:w="5000"/>
        <w:tblLayout w:type="fixed"/>
        <w:tblLook w:firstRow="0" w:lastRow="0" w:firstColumn="0" w:lastColumn="0" w:noHBand="0" w:noVBand="0" w:val="0000"/>
      </w:tblPr>
      <w:tblGrid>
        <w:gridCol w:w="7920"/>
      </w:tblGrid>
      <w:tr>
        <w:tc>
          <w:tcPr/>
          <w:bookmarkStart w:id="65" w:name="tbl-appa"/>
          <w:p>
            <w:pPr>
              <w:jc w:val="center"/>
            </w:pPr>
            <w:pPr>
              <w:jc w:val="start"/>
              <w:spacing w:before="200"/>
              <w:pStyle w:val="ImageCaption"/>
            </w:pPr>
            <w:r>
              <w:t xml:space="preserve">Table 14: Planned screening design in coded units (standard order).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Run</w:t>
                  </w:r>
                </w:p>
              </w:tc>
              <w:tc>
                <w:tcPr/>
                <w:p>
                  <w:pPr>
                    <w:pStyle w:val="Compact"/>
                    <w:jc w:val="center"/>
                  </w:pPr>
                  <w:r>
                    <w:t xml:space="preserve">Type</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2</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3</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4</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5</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6</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7</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8</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9</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10</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11</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12</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13</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14</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15</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16</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17</w:t>
                  </w:r>
                </w:p>
              </w:tc>
              <w:tc>
                <w:tcPr>
                  <w:vMerge w:val="restart"/>
                </w:tcPr>
                <w:p>
                  <w:pPr>
                    <w:pStyle w:val="Compact"/>
                    <w:jc w:val="center"/>
                  </w:pPr>
                  <w:r>
                    <w:t xml:space="preserve">centre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18</w:t>
                  </w:r>
                </w:p>
              </w:tc>
              <w:tc>
                <w:tcPr>
                  <w:gridSpan w:val="1"/>
                  <w:vMerge w:val="continue"/>
                </w:tcPr>
                <w:p>
                  <w:pP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19</w:t>
                  </w:r>
                </w:p>
              </w:tc>
              <w:tc>
                <w:tcPr>
                  <w:gridSpan w:val="1"/>
                  <w:vMerge w:val="continue"/>
                </w:tcPr>
                <w:p>
                  <w:pP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bookmarkEnd w:id="65"/>
          <w:p/>
        </w:tc>
      </w:tr>
    </w:tbl>
    <w:bookmarkEnd w:id="66"/>
    <w:bookmarkStart w:id="68" w:name="sec-appb"/>
    <w:p>
      <w:pPr>
        <w:pStyle w:val="Heading1"/>
      </w:pPr>
      <w:r>
        <w:t xml:space="preserve">Appendix B. Planned response-surface design</w:t>
      </w:r>
    </w:p>
    <w:p>
      <w:pPr>
        <w:pStyle w:val="FirstParagraph"/>
      </w:pPr>
      <w:hyperlink w:anchor="tbl-appb">
        <w:r>
          <w:rPr>
            <w:rStyle w:val="Hyperlink"/>
          </w:rPr>
          <w:t xml:space="preserve">Table 15</w:t>
        </w:r>
      </w:hyperlink>
      <w:r>
        <w:t xml:space="preserve"> </w:t>
      </w:r>
      <w:r>
        <w:t xml:space="preserve">gives the planned face-centred central composite design (study S-PA-RSM) in coded units. Runs are listed in standard order, grouped by run type, and executed in random order.</w:t>
      </w:r>
    </w:p>
    <w:tbl>
      <w:tblPr>
        <w:tblStyle w:val="Table"/>
        <w:tblW w:type="pct" w:w="5000"/>
        <w:tblLayout w:type="fixed"/>
        <w:tblLook w:firstRow="0" w:lastRow="0" w:firstColumn="0" w:lastColumn="0" w:noHBand="0" w:noVBand="0" w:val="0000"/>
      </w:tblPr>
      <w:tblGrid>
        <w:gridCol w:w="7920"/>
      </w:tblGrid>
      <w:tr>
        <w:tc>
          <w:tcPr/>
          <w:bookmarkStart w:id="67" w:name="tbl-appb"/>
          <w:p>
            <w:pPr>
              <w:jc w:val="center"/>
            </w:pPr>
            <w:pPr>
              <w:jc w:val="start"/>
              <w:spacing w:before="200"/>
              <w:pStyle w:val="ImageCaption"/>
            </w:pPr>
            <w:r>
              <w:t xml:space="preserve">Table 15: Planned response-surface design in coded units (standard order).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Run</w:t>
                  </w:r>
                </w:p>
              </w:tc>
              <w:tc>
                <w:tcPr/>
                <w:p>
                  <w:pPr>
                    <w:pStyle w:val="Compact"/>
                    <w:jc w:val="center"/>
                  </w:pPr>
                  <w:r>
                    <w:t xml:space="preserve">Type</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2</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3</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4</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5</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6</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7</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8</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9</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10</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11</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12</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13</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14</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15</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16</w:t>
                  </w:r>
                </w:p>
              </w:tc>
              <w:tc>
                <w:tcPr>
                  <w:gridSpan w:val="1"/>
                  <w:vMerge w:val="continue"/>
                </w:tcPr>
                <w:p>
                  <w:pP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r>
            <w:tr>
              <w:tc>
                <w:tcPr/>
                <w:p>
                  <w:pPr>
                    <w:pStyle w:val="Compact"/>
                    <w:jc w:val="center"/>
                  </w:pPr>
                  <w:r>
                    <w:t xml:space="preserve">17</w:t>
                  </w:r>
                </w:p>
              </w:tc>
              <w:tc>
                <w:tcPr>
                  <w:vMerge w:val="restart"/>
                </w:tcPr>
                <w:p>
                  <w:pPr>
                    <w:pStyle w:val="Compact"/>
                    <w:jc w:val="center"/>
                  </w:pPr>
                  <w:r>
                    <w:t xml:space="preserve">axial</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18</w:t>
                  </w:r>
                </w:p>
              </w:tc>
              <w:tc>
                <w:tcPr>
                  <w:gridSpan w:val="1"/>
                  <w:vMerge w:val="continue"/>
                </w:tcPr>
                <w:p>
                  <w:pP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19</w:t>
                  </w:r>
                </w:p>
              </w:tc>
              <w:tc>
                <w:tcPr>
                  <w:gridSpan w:val="1"/>
                  <w:vMerge w:val="continue"/>
                </w:tcPr>
                <w:p>
                  <w:pP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20</w:t>
                  </w:r>
                </w:p>
              </w:tc>
              <w:tc>
                <w:tcPr>
                  <w:gridSpan w:val="1"/>
                  <w:vMerge w:val="continue"/>
                </w:tcPr>
                <w:p>
                  <w:pP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21</w:t>
                  </w:r>
                </w:p>
              </w:tc>
              <w:tc>
                <w:tcPr>
                  <w:gridSpan w:val="1"/>
                  <w:vMerge w:val="continue"/>
                </w:tcPr>
                <w:p>
                  <w:pP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22</w:t>
                  </w:r>
                </w:p>
              </w:tc>
              <w:tc>
                <w:tcPr>
                  <w:gridSpan w:val="1"/>
                  <w:vMerge w:val="continue"/>
                </w:tcPr>
                <w:p>
                  <w:pP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r>
            <w:tr>
              <w:tc>
                <w:tcPr/>
                <w:p>
                  <w:pPr>
                    <w:pStyle w:val="Compact"/>
                    <w:jc w:val="center"/>
                  </w:pPr>
                  <w:r>
                    <w:t xml:space="preserve">23</w:t>
                  </w:r>
                </w:p>
              </w:tc>
              <w:tc>
                <w:tcPr>
                  <w:gridSpan w:val="1"/>
                  <w:vMerge w:val="continue"/>
                </w:tcPr>
                <w:p>
                  <w:pP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c>
                <w:tcPr/>
                <w:p>
                  <w:pPr>
                    <w:pStyle w:val="Compact"/>
                    <w:jc w:val="center"/>
                  </w:pPr>
                  <w:r>
                    <w:t xml:space="preserve">24</w:t>
                  </w:r>
                </w:p>
              </w:tc>
              <w:tc>
                <w:tcPr>
                  <w:gridSpan w:val="1"/>
                  <w:vMerge w:val="continue"/>
                </w:tcPr>
                <w:p>
                  <w:pP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r>
            <w:tr>
              <w:tc>
                <w:tcPr/>
                <w:p>
                  <w:pPr>
                    <w:pStyle w:val="Compact"/>
                    <w:jc w:val="center"/>
                  </w:pPr>
                  <w:r>
                    <w:t xml:space="preserve">25</w:t>
                  </w:r>
                </w:p>
              </w:tc>
              <w:tc>
                <w:tcPr>
                  <w:vMerge w:val="restart"/>
                </w:tcPr>
                <w:p>
                  <w:pPr>
                    <w:pStyle w:val="Compact"/>
                    <w:jc w:val="center"/>
                  </w:pPr>
                  <w:r>
                    <w:t xml:space="preserve">centre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26</w:t>
                  </w:r>
                </w:p>
              </w:tc>
              <w:tc>
                <w:tcPr>
                  <w:gridSpan w:val="1"/>
                  <w:vMerge w:val="continue"/>
                </w:tcPr>
                <w:p>
                  <w:pP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27</w:t>
                  </w:r>
                </w:p>
              </w:tc>
              <w:tc>
                <w:tcPr>
                  <w:gridSpan w:val="1"/>
                  <w:vMerge w:val="continue"/>
                </w:tcPr>
                <w:p>
                  <w:pP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28</w:t>
                  </w:r>
                </w:p>
              </w:tc>
              <w:tc>
                <w:tcPr>
                  <w:gridSpan w:val="1"/>
                  <w:vMerge w:val="continue"/>
                </w:tcPr>
                <w:p>
                  <w:pP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bl>
          <w:bookmarkEnd w:id="67"/>
          <w:p/>
        </w:tc>
      </w:tr>
    </w:tbl>
    <w:bookmarkEnd w:id="68"/>
    <w:bookmarkStart w:id="71" w:name="references"/>
    <w:p>
      <w:pPr>
        <w:pStyle w:val="Heading1"/>
      </w:pPr>
      <w:r>
        <w:t xml:space="preserve">References</w:t>
      </w:r>
    </w:p>
    <w:bookmarkStart w:id="70" w:name="refs"/>
    <w:bookmarkStart w:id="69"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Plan</dc:title>
  <dc:creator>Process Development / Manufacturing Science &amp; Technology (MSAT)</dc:creator>
  <cp:keywords/>
  <dcterms:created xsi:type="dcterms:W3CDTF">2026-10-10T15:34:29Z</dcterms:created>
  <dcterms:modified xsi:type="dcterms:W3CDTF">2026-10-10T15:34:29Z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Protein A Chromatography (Step 5) — PCP-005</vt:lpwstr>
  </property>
  <property fmtid="{D5CDD505-2E9C-101B-9397-08002B2CF9AE}" pid="15" name="tbl-cap-location">
    <vt:lpwstr>top</vt:lpwstr>
  </property>
  <property fmtid="{D5CDD505-2E9C-101B-9397-08002B2CF9AE}" pid="16" name="toc-title">
    <vt:lpwstr>Table of contents</vt:lpwstr>
  </property>
</Properties>
</file>