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Process Characterization Report</w:t>
      </w:r>
    </w:p>
    <w:p>
      <w:pPr>
        <w:pStyle w:val="Subtitle"/>
      </w:pPr>
      <w:r>
        <w:t xml:space="preserve">A-Mab Drug Substance — Harvest and Clarification (Step 4) — PCR-004</w:t>
      </w:r>
    </w:p>
    <w:p>
      <w:pPr>
        <w:pStyle w:val="Author"/>
      </w:pPr>
      <w:r>
        <w:t xml:space="preserve">Process Development / Manufacturing Science &amp; Technology (MSAT)</w:t>
      </w:r>
    </w:p>
    <w:p>
      <w:pPr>
        <w:pStyle w:val="Date"/>
      </w:pPr>
      <w:r>
        <w:t xml:space="preserve">2026-07-24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75"/>
        <w:gridCol w:w="694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Document 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PCR-004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Document class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Process Characterization Report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Title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Process Characterization Report: Harvest and Clarification (Step 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Product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A-Mab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Effective 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2026-07-24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Approved (synthetic)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Document 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Manufacturing Science &amp; Technology (MSAT)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Sponsor / sites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Novacyte Biologics; Novacyte Biologics — Cambridge, MA (Development) → Novacyte Biologics — Grafton, WI (Commercial DS)</w:t>
            </w:r>
          </w:p>
        </w:tc>
      </w:tr>
    </w:tbl>
    <w:p>
      <w:pPr>
        <w:pStyle w:val="BlockText"/>
      </w:pPr>
      <w:r>
        <w:rPr>
          <w:b/>
          <w:bCs/>
        </w:rPr>
        <w:t xml:space="preserve">SYNTHETIC DOCUMENT — NOT A REAL RECORD.</w:t>
      </w:r>
      <w:r>
        <w:t xml:space="preserve"> </w:t>
      </w:r>
      <w:r>
        <w:t xml:space="preserve">Illustrative content generated from a seeded model of the</w:t>
      </w:r>
      <w:r>
        <w:t xml:space="preserve"> </w:t>
      </w:r>
      <w:r>
        <w:rPr>
          <w:i/>
          <w:iCs/>
        </w:rPr>
        <w:t xml:space="preserve">A-Mab</w:t>
      </w:r>
      <w:r>
        <w:t xml:space="preserve"> </w:t>
      </w:r>
      <w:r>
        <w:t xml:space="preserve">case study (CMC Biotech Working Group, 2009). Novacyte Biologics and all sites, SOP/AMV numbers and signatories are fictional. For NLP corpus development only; not for any regulated use.</w:t>
      </w:r>
    </w:p>
    <w:bookmarkStart w:id="10" w:name="approvals"/>
    <w:p>
      <w:pPr>
        <w:pStyle w:val="Heading2"/>
      </w:pPr>
      <w:r>
        <w:t xml:space="preserve">Approvals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" w:name="tbl-appr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Approval record (synthetic; signatures not applied).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Role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Name (synthetic)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Signature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Author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Process Development / MSAT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Reviewer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Analytical Development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Reviewer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Manufacturing Science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Reviewer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Statistics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Approver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Quality Assurance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</w:tr>
          </w:tbl>
          <w:bookmarkEnd w:id="9"/>
          <w:p/>
        </w:tc>
      </w:tr>
    </w:tbl>
    <w:bookmarkEnd w:id="10"/>
    <w:bookmarkStart w:id="11" w:name="abbreviations"/>
    <w:p>
      <w:pPr>
        <w:pStyle w:val="Heading2"/>
      </w:pPr>
      <w:r>
        <w:t xml:space="preserve">Abbreviations</w:t>
      </w:r>
    </w:p>
    <w:p>
      <w:pPr>
        <w:pStyle w:val="FirstParagraph"/>
      </w:pPr>
      <w:r>
        <w:t xml:space="preserve">AMV, analytical method validation; BLA, Biologics License Application; Cpk, process</w:t>
      </w:r>
      <w:r>
        <w:t xml:space="preserve"> </w:t>
      </w:r>
      <w:r>
        <w:t xml:space="preserve">capability index; CPP, critical process parameter; CQA, critical quality attribute; DNA,</w:t>
      </w:r>
      <w:r>
        <w:t xml:space="preserve"> </w:t>
      </w:r>
      <w:r>
        <w:t xml:space="preserve">deoxyribonucleic acid; ELISA, enzyme-linked immunosorbent assay; GPP, general process</w:t>
      </w:r>
      <w:r>
        <w:t xml:space="preserve"> </w:t>
      </w:r>
      <w:r>
        <w:t xml:space="preserve">parameter; HCP, host cell protein; ICH, International Council for Harmonisation; KPP, key</w:t>
      </w:r>
      <w:r>
        <w:t xml:space="preserve"> </w:t>
      </w:r>
      <w:r>
        <w:t xml:space="preserve">process parameter; MSAT, Manufacturing Science and Technology; NOR, normal operating range;</w:t>
      </w:r>
      <w:r>
        <w:t xml:space="preserve"> </w:t>
      </w:r>
      <w:r>
        <w:t xml:space="preserve">NTU, nephelometric turbidity unit; PAR, proven acceptable range; PPQ, process performance</w:t>
      </w:r>
      <w:r>
        <w:t xml:space="preserve"> </w:t>
      </w:r>
      <w:r>
        <w:t xml:space="preserve">qualification; qPCR, quantitative polymerase chain reaction; rcf, relative centrifugal</w:t>
      </w:r>
      <w:r>
        <w:t xml:space="preserve"> </w:t>
      </w:r>
      <w:r>
        <w:t xml:space="preserve">force; SEC-HPLC, size-exclusion high-performance liquid chromatography; SOP, standard</w:t>
      </w:r>
      <w:r>
        <w:t xml:space="preserve"> </w:t>
      </w:r>
      <w:r>
        <w:t xml:space="preserve">operating procedure; WC-CPP, well-controlled critical process parameter.</w:t>
      </w:r>
    </w:p>
    <w:p>
      <w:r>
        <w:br w:type="page"/>
      </w:r>
    </w:p>
    <w:bookmarkEnd w:id="11"/>
    <w:bookmarkStart w:id="12" w:name="executive-summary"/>
    <w:p>
      <w:pPr>
        <w:pStyle w:val="Heading1"/>
      </w:pPr>
      <w:r>
        <w:t xml:space="preserve">Executive summary</w:t>
      </w:r>
    </w:p>
    <w:p>
      <w:pPr>
        <w:pStyle w:val="FirstParagraph"/>
      </w:pPr>
      <w:r>
        <w:t xml:space="preserve">Harvest and clarification is the primary recovery step of the A-Mab drug-substance process.</w:t>
      </w:r>
      <w:r>
        <w:t xml:space="preserve"> </w:t>
      </w:r>
      <w:r>
        <w:t xml:space="preserve">It removes cells and cell debris from the production bioreactor broth by continuous</w:t>
      </w:r>
      <w:r>
        <w:t xml:space="preserve"> </w:t>
      </w:r>
      <w:r>
        <w:t xml:space="preserve">disk-stack centrifugation (SOP-2005), and it clarifies the centrate through a depth filter</w:t>
      </w:r>
      <w:r>
        <w:t xml:space="preserve"> </w:t>
      </w:r>
      <w:r>
        <w:t xml:space="preserve">train and a sterile filter (SOP-2006). The step forms no product-quality attribute and is</w:t>
      </w:r>
      <w:r>
        <w:t xml:space="preserve"> </w:t>
      </w:r>
      <w:r>
        <w:t xml:space="preserve">credited with no impurity clearance. What it delivers is product recovery and a consistent,</w:t>
      </w:r>
      <w:r>
        <w:t xml:space="preserve"> </w:t>
      </w:r>
      <w:r>
        <w:t xml:space="preserve">low-solids feed to Protein A capture (PCR-005).</w:t>
      </w:r>
    </w:p>
    <w:p>
      <w:pPr>
        <w:pStyle w:val="BodyText"/>
      </w:pPr>
      <w:r>
        <w:t xml:space="preserve">The characterization was executed under PCP-004 in a qualified scale-down model, and it</w:t>
      </w:r>
      <w:r>
        <w:t xml:space="preserve"> </w:t>
      </w:r>
      <w:r>
        <w:t xml:space="preserve">follows the Stage 1 process-design expectations of the lifecycle approach</w:t>
      </w:r>
      <w:r>
        <w:t xml:space="preserve"> </w:t>
      </w:r>
      <w:r>
        <w:t xml:space="preserve">(U.S. Food and Drug Administration 2011)</w:t>
      </w:r>
      <w:r>
        <w:t xml:space="preserve"> </w:t>
      </w:r>
      <w:r>
        <w:t xml:space="preserve">and the</w:t>
      </w:r>
      <w:r>
        <w:t xml:space="preserve"> </w:t>
      </w:r>
      <w:r>
        <w:t xml:space="preserve">enhanced development approach of ICH Q8</w:t>
      </w:r>
      <w:r>
        <w:t xml:space="preserve"> </w:t>
      </w:r>
      <w:r>
        <w:t xml:space="preserve">(International Council for Harmonisation 2009)</w:t>
      </w:r>
      <w:r>
        <w:t xml:space="preserve">, with the A-Mab case study as the process</w:t>
      </w:r>
      <w:r>
        <w:t xml:space="preserve"> </w:t>
      </w:r>
      <w:r>
        <w:t xml:space="preserve">reference throughout</w:t>
      </w:r>
      <w:r>
        <w:t xml:space="preserve"> </w:t>
      </w:r>
      <w:r>
        <w:t xml:space="preserve">(CMC Biotech Working Group 2009)</w:t>
      </w:r>
      <w:r>
        <w:t xml:space="preserve">. Three parameters were characterized, each one at a</w:t>
      </w:r>
      <w:r>
        <w:t xml:space="preserve"> </w:t>
      </w:r>
      <w:r>
        <w:t xml:space="preserve">time over a range two to three times the width of its normal operating range. Centrifugation</w:t>
      </w:r>
      <w:r>
        <w:t xml:space="preserve"> </w:t>
      </w:r>
      <w:r>
        <w:t xml:space="preserve">and depth-filter loading are key process parameters and post-clarification turbidity is a</w:t>
      </w:r>
      <w:r>
        <w:t xml:space="preserve"> </w:t>
      </w:r>
      <w:r>
        <w:t xml:space="preserve">general process parameter, and the step carries no critical process parameter, because none</w:t>
      </w:r>
      <w:r>
        <w:t xml:space="preserve"> </w:t>
      </w:r>
      <w:r>
        <w:t xml:space="preserve">of its parameters is linked to a critical quality attribute.</w:t>
      </w:r>
    </w:p>
    <w:p>
      <w:pPr>
        <w:pStyle w:val="BodyText"/>
      </w:pPr>
      <w:r>
        <w:t xml:space="preserve">In the nominal commercial-scale simulation the step recovered 97.7% of</w:t>
      </w:r>
      <w:r>
        <w:t xml:space="preserve"> </w:t>
      </w:r>
      <w:r>
        <w:t xml:space="preserve">the product presented to it, which is 64.1 kg of the</w:t>
      </w:r>
      <w:r>
        <w:t xml:space="preserve"> </w:t>
      </w:r>
      <w:r>
        <w:t xml:space="preserve">65.6 kg leaving the bioreactor, and it accounts for</w:t>
      </w:r>
      <w:r>
        <w:t xml:space="preserve"> </w:t>
      </w:r>
      <w:r>
        <w:t xml:space="preserve">13.8% of the total product loss across the drug-substance train.</w:t>
      </w:r>
      <w:r>
        <w:t xml:space="preserve"> </w:t>
      </w:r>
      <w:r>
        <w:t xml:space="preserve">Post-clarification turbidity at the set-point condition was 5 NTU,</w:t>
      </w:r>
      <w:r>
        <w:t xml:space="preserve"> </w:t>
      </w:r>
      <w:r>
        <w:t xml:space="preserve">in the middle of its normal operating range of 1–10 NTU. Both results were obtained</w:t>
      </w:r>
      <w:r>
        <w:t xml:space="preserve"> </w:t>
      </w:r>
      <w:r>
        <w:t xml:space="preserve">over the characterized ranges given in §7 and in a scale-down model, so they are bounded by</w:t>
      </w:r>
      <w:r>
        <w:t xml:space="preserve"> </w:t>
      </w:r>
      <w:r>
        <w:t xml:space="preserve">that model and by those ranges.</w:t>
      </w:r>
    </w:p>
    <w:p>
      <w:pPr>
        <w:pStyle w:val="BodyText"/>
      </w:pPr>
      <w:r>
        <w:t xml:space="preserve">The clarified harvest carries about 500,000 ng/mg host cell protein</w:t>
      </w:r>
      <w:r>
        <w:t xml:space="preserve"> </w:t>
      </w:r>
      <w:r>
        <w:t xml:space="preserve">(HCP) into capture. That burden is set by the culture and cleared by the purification train,</w:t>
      </w:r>
      <w:r>
        <w:t xml:space="preserve"> </w:t>
      </w:r>
      <w:r>
        <w:t xml:space="preserve">not by this step. Protein A capture alone reduces it 55-fold</w:t>
      </w:r>
      <w:r>
        <w:t xml:space="preserve"> </w:t>
      </w:r>
      <w:r>
        <w:t xml:space="preserve">(PCR-005), and the drug substance meets its limit of 100 ng/mg</w:t>
      </w:r>
      <w:r>
        <w:t xml:space="preserve"> </w:t>
      </w:r>
      <w:r>
        <w:t xml:space="preserve">with a capability of 6.14 (§8). Two deviations were recorded,</w:t>
      </w:r>
      <w:r>
        <w:t xml:space="preserve"> </w:t>
      </w:r>
      <w:r>
        <w:t xml:space="preserve">investigated and closed. Both were retained without altering a parameter classification or a</w:t>
      </w:r>
      <w:r>
        <w:t xml:space="preserve"> </w:t>
      </w:r>
      <w:r>
        <w:t xml:space="preserve">characterized range (§13). The step is ready for Stage 2 with the ranges given in §7,</w:t>
      </w:r>
      <w:r>
        <w:t xml:space="preserve"> </w:t>
      </w:r>
      <w:r>
        <w:t xml:space="preserve">and its outcome rolls up into PCMR-001.</w:t>
      </w:r>
    </w:p>
    <w:bookmarkEnd w:id="12"/>
    <w:bookmarkStart w:id="19" w:name="introduction"/>
    <w:p>
      <w:pPr>
        <w:pStyle w:val="Heading1"/>
      </w:pPr>
      <w:r>
        <w:t xml:space="preserve">1. Introduction</w:t>
      </w:r>
    </w:p>
    <w:bookmarkStart w:id="14" w:name="product-and-unit-operation"/>
    <w:p>
      <w:pPr>
        <w:pStyle w:val="Heading2"/>
      </w:pPr>
      <w:r>
        <w:t xml:space="preserve">1.1 Product and unit operation</w:t>
      </w:r>
    </w:p>
    <w:p>
      <w:pPr>
        <w:pStyle w:val="FirstParagraph"/>
      </w:pPr>
      <w:r>
        <w:t xml:space="preserve">A-Mab is a humanized IgG1 monoclonal antibody whose principal mechanism of action is</w:t>
      </w:r>
      <w:r>
        <w:t xml:space="preserve"> </w:t>
      </w:r>
      <w:r>
        <w:t xml:space="preserve">antibody-dependent cell-mediated cytotoxicity, and it is produced by fed-batch mammalian</w:t>
      </w:r>
      <w:r>
        <w:t xml:space="preserve"> </w:t>
      </w:r>
      <w:r>
        <w:t xml:space="preserve">cell culture and purified by a platform train of Protein A capture, low-pH viral</w:t>
      </w:r>
      <w:r>
        <w:t xml:space="preserve"> </w:t>
      </w:r>
      <w:r>
        <w:t xml:space="preserve">inactivation, cation exchange, anion exchange, small-virus retentive filtration and</w:t>
      </w:r>
      <w:r>
        <w:t xml:space="preserve"> </w:t>
      </w:r>
      <w:r>
        <w:t xml:space="preserve">ultrafiltration or diafiltration. The train and the role of each step are given in</w:t>
      </w:r>
      <w:r>
        <w:t xml:space="preserve"> </w:t>
      </w:r>
      <w:hyperlink w:anchor="tbl-train">
        <w:r>
          <w:rPr>
            <w:rStyle w:val="Hyperlink"/>
          </w:rPr>
          <w:t xml:space="preserve">Table 2</w:t>
        </w:r>
      </w:hyperlink>
      <w:r>
        <w:t xml:space="preserve">. Harvest and clarification sits between the production bioreactor (PCR-003) and</w:t>
      </w:r>
      <w:r>
        <w:t xml:space="preserve"> </w:t>
      </w:r>
      <w:r>
        <w:t xml:space="preserve">capture, and it is the only step of the train that handles unclarified broth.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trai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The A-Mab drug-substance process train and the principal role of each step.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528"/>
              <w:gridCol w:w="2244"/>
              <w:gridCol w:w="5148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Step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Unit operation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Principal role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Production Bioreactor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Forms the glycan, charge-variant and aggregate CQAs (design-space step)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Harvest and Clarification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Primary recovery and clarification; forms no product-quality CQA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Protein A Chromatography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Capture; sets leached Protein A; principal HCP and DNA clearance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Low-pH Viral Inactivation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Low-pH hold; sets the cumulative XMuLV (enveloped) clearance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Cation Exchange Chromatography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Polish; principal aggregate reduction; major HCP/DNA/leached-PA clearance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Anion Exchange Chromatography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Flow-through polish; sets the cumulative MVM clearance; clears XMuLV/HCP/DNA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Small-Virus Retentive Filtration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Dedicated small-virus removal; principal MVM clearance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Ultrafiltration / Diafiltration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Formulation / mass balance; delivers drug substance at target concentration</w:t>
                  </w:r>
                </w:p>
              </w:tc>
            </w:tr>
          </w:tbl>
          <w:bookmarkEnd w:id="13"/>
          <w:p/>
        </w:tc>
      </w:tr>
    </w:tbl>
    <w:p>
      <w:pPr>
        <w:pStyle w:val="BodyText"/>
      </w:pPr>
      <w:r>
        <w:t xml:space="preserve">The step operates in two stages. In the first, the whole broth is fed continuously to a</w:t>
      </w:r>
      <w:r>
        <w:t xml:space="preserve"> </w:t>
      </w:r>
      <w:r>
        <w:t xml:space="preserve">disk-stack centrifuge, which sediments cells and the larger debris and discharges them as a</w:t>
      </w:r>
      <w:r>
        <w:t xml:space="preserve"> </w:t>
      </w:r>
      <w:r>
        <w:t xml:space="preserve">solids stream. The centrate is then passed through a depth filter train, which removes the</w:t>
      </w:r>
      <w:r>
        <w:t xml:space="preserve"> </w:t>
      </w:r>
      <w:r>
        <w:t xml:space="preserve">fine solids that the centrifuge cannot sediment, and finally through a sterile filter into</w:t>
      </w:r>
      <w:r>
        <w:t xml:space="preserve"> </w:t>
      </w:r>
      <w:r>
        <w:t xml:space="preserve">the capture feed vessel, where solids removal is judged by the turbidity of the clarified</w:t>
      </w:r>
      <w:r>
        <w:t xml:space="preserve"> </w:t>
      </w:r>
      <w:r>
        <w:t xml:space="preserve">harvest measured by nephelometry.</w:t>
      </w:r>
    </w:p>
    <w:p>
      <w:pPr>
        <w:pStyle w:val="BodyText"/>
      </w:pPr>
      <w:r>
        <w:t xml:space="preserve">The step forms no critical quality attribute and reduces none, because it has no</w:t>
      </w:r>
      <w:r>
        <w:t xml:space="preserve"> </w:t>
      </w:r>
      <w:r>
        <w:t xml:space="preserve">chromatographic, chemical or size-based mechanism that acts on the antibody, so the glycan,</w:t>
      </w:r>
      <w:r>
        <w:t xml:space="preserve"> </w:t>
      </w:r>
      <w:r>
        <w:t xml:space="preserve">charge-variant and aggregate attributes formed in the bioreactor (PCR-003) pass through it</w:t>
      </w:r>
      <w:r>
        <w:t xml:space="preserve"> </w:t>
      </w:r>
      <w:r>
        <w:t xml:space="preserve">unchanged.</w:t>
      </w:r>
      <w:r>
        <w:t xml:space="preserve"> </w:t>
      </w:r>
      <w:r>
        <w:t xml:space="preserve">Host cell protein and residual DNA enter it with the broth and leave it with the clarified</w:t>
      </w:r>
      <w:r>
        <w:t xml:space="preserve"> </w:t>
      </w:r>
      <w:r>
        <w:t xml:space="preserve">harvest. Their clearance is the work of the purification steps, and the credit for it is</w:t>
      </w:r>
      <w:r>
        <w:t xml:space="preserve"> </w:t>
      </w:r>
      <w:r>
        <w:t xml:space="preserve">given in PCR-005, PCR-007 and PCR-008.</w:t>
      </w:r>
    </w:p>
    <w:bookmarkEnd w:id="14"/>
    <w:bookmarkStart w:id="15" w:name="objectives"/>
    <w:p>
      <w:pPr>
        <w:pStyle w:val="Heading2"/>
      </w:pPr>
      <w:r>
        <w:t xml:space="preserve">1.2 Objectives</w:t>
      </w:r>
    </w:p>
    <w:p>
      <w:pPr>
        <w:pStyle w:val="FirstParagraph"/>
      </w:pPr>
      <w:r>
        <w:t xml:space="preserve">The objectives of this characterization were:</w:t>
      </w:r>
    </w:p>
    <w:p>
      <w:pPr>
        <w:pStyle w:val="Compact"/>
        <w:numPr>
          <w:ilvl w:val="0"/>
          <w:numId w:val="1001"/>
        </w:numPr>
      </w:pPr>
    </w:p>
    <w:p>
      <w:pPr>
        <w:pStyle w:val="Compact"/>
        <w:numPr>
          <w:ilvl w:val="1"/>
          <w:numId w:val="1002"/>
        </w:numPr>
      </w:pPr>
      <w:r>
        <w:t xml:space="preserve">To confirm that the step forms and modifies no critical quality attribute over the</w:t>
      </w:r>
      <w:r>
        <w:t xml:space="preserve"> </w:t>
      </w:r>
      <w:r>
        <w:t xml:space="preserve">ranges studied.</w:t>
      </w:r>
    </w:p>
    <w:p>
      <w:pPr>
        <w:pStyle w:val="Compact"/>
        <w:numPr>
          <w:ilvl w:val="0"/>
          <w:numId w:val="1001"/>
        </w:numPr>
      </w:pPr>
    </w:p>
    <w:p>
      <w:pPr>
        <w:pStyle w:val="Compact"/>
        <w:numPr>
          <w:ilvl w:val="1"/>
          <w:numId w:val="1003"/>
        </w:numPr>
      </w:pPr>
      <w:r>
        <w:t xml:space="preserve">To quantify product recovery and its variability at commercial-equivalent scale.</w:t>
      </w:r>
    </w:p>
    <w:p>
      <w:pPr>
        <w:pStyle w:val="Compact"/>
        <w:numPr>
          <w:ilvl w:val="0"/>
          <w:numId w:val="1001"/>
        </w:numPr>
      </w:pPr>
    </w:p>
    <w:p>
      <w:pPr>
        <w:pStyle w:val="Compact"/>
        <w:numPr>
          <w:ilvl w:val="1"/>
          <w:numId w:val="1004"/>
        </w:numPr>
      </w:pPr>
      <w:r>
        <w:t xml:space="preserve">To establish the ranges of centrifugation force and depth-filter loading over which</w:t>
      </w:r>
      <w:r>
        <w:t xml:space="preserve"> </w:t>
      </w:r>
      <w:r>
        <w:t xml:space="preserve">clarification remains acceptable.</w:t>
      </w:r>
    </w:p>
    <w:p>
      <w:pPr>
        <w:pStyle w:val="Compact"/>
        <w:numPr>
          <w:ilvl w:val="0"/>
          <w:numId w:val="1001"/>
        </w:numPr>
      </w:pPr>
    </w:p>
    <w:p>
      <w:pPr>
        <w:pStyle w:val="Compact"/>
        <w:numPr>
          <w:ilvl w:val="1"/>
          <w:numId w:val="1005"/>
        </w:numPr>
      </w:pPr>
      <w:r>
        <w:t xml:space="preserve">To classify each parameter of the step under SOP-4001.</w:t>
      </w:r>
    </w:p>
    <w:p>
      <w:pPr>
        <w:pStyle w:val="Compact"/>
        <w:numPr>
          <w:ilvl w:val="0"/>
          <w:numId w:val="1001"/>
        </w:numPr>
      </w:pPr>
    </w:p>
    <w:p>
      <w:pPr>
        <w:pStyle w:val="Compact"/>
        <w:numPr>
          <w:ilvl w:val="1"/>
          <w:numId w:val="1006"/>
        </w:numPr>
      </w:pPr>
      <w:r>
        <w:t xml:space="preserve">To define the in-process controls that assure a consistent feed to Protein A capture.</w:t>
      </w:r>
    </w:p>
    <w:bookmarkEnd w:id="15"/>
    <w:bookmarkStart w:id="16" w:name="regulatory-and-scientific-basis"/>
    <w:p>
      <w:pPr>
        <w:pStyle w:val="Heading2"/>
      </w:pPr>
      <w:r>
        <w:t xml:space="preserve">1.3 Regulatory and scientific basis</w:t>
      </w:r>
    </w:p>
    <w:p>
      <w:pPr>
        <w:pStyle w:val="FirstParagraph"/>
      </w:pPr>
      <w:r>
        <w:t xml:space="preserve">The study is a Stage 1 process-design activity in the lifecycle sense</w:t>
      </w:r>
      <w:r>
        <w:t xml:space="preserve"> </w:t>
      </w:r>
      <w:r>
        <w:t xml:space="preserve">(U.S. Food and Drug Administration 2011)</w:t>
      </w:r>
      <w:r>
        <w:t xml:space="preserve">, and it is</w:t>
      </w:r>
      <w:r>
        <w:t xml:space="preserve"> </w:t>
      </w:r>
      <w:r>
        <w:t xml:space="preserve">reported here as part of the record supporting the Biologics License Application. The</w:t>
      </w:r>
      <w:r>
        <w:t xml:space="preserve"> </w:t>
      </w:r>
      <w:r>
        <w:t xml:space="preserve">development approach follows ICH Q8 and ICH Q11, and criticality is treated as a continuum</w:t>
      </w:r>
      <w:r>
        <w:t xml:space="preserve"> </w:t>
      </w:r>
      <w:r>
        <w:t xml:space="preserve">under ICH Q9</w:t>
      </w:r>
      <w:r>
        <w:t xml:space="preserve"> </w:t>
      </w:r>
      <w:r>
        <w:t xml:space="preserve">(International Council for Harmonisation 2009, 2023b, 2012)</w:t>
      </w:r>
      <w:r>
        <w:t xml:space="preserve">. Attributes are not sorted into critical and</w:t>
      </w:r>
      <w:r>
        <w:t xml:space="preserve"> </w:t>
      </w:r>
      <w:r>
        <w:t xml:space="preserve">non-critical alone. They carry a level of criticality that reflects both the impact of the</w:t>
      </w:r>
      <w:r>
        <w:t xml:space="preserve"> </w:t>
      </w:r>
      <w:r>
        <w:t xml:space="preserve">attribute and the uncertainty in that impact, and the parameters of a step are classified</w:t>
      </w:r>
      <w:r>
        <w:t xml:space="preserve"> </w:t>
      </w:r>
      <w:r>
        <w:t xml:space="preserve">against the attributes they affect.</w:t>
      </w:r>
    </w:p>
    <w:p>
      <w:pPr>
        <w:pStyle w:val="BodyText"/>
      </w:pPr>
      <w:r>
        <w:t xml:space="preserve">No viral-clearance claim is made for this step, so ICH Q5A is not applied here</w:t>
      </w:r>
      <w:r>
        <w:t xml:space="preserve"> </w:t>
      </w:r>
      <w:r>
        <w:t xml:space="preserve">(International Council for Harmonisation 2023a)</w:t>
      </w:r>
      <w:r>
        <w:t xml:space="preserve">,</w:t>
      </w:r>
      <w:r>
        <w:t xml:space="preserve"> </w:t>
      </w:r>
      <w:r>
        <w:t xml:space="preserve">and the cumulative viral-clearance claim for the drug substance rests on low-pH inactivation</w:t>
      </w:r>
      <w:r>
        <w:t xml:space="preserve"> </w:t>
      </w:r>
      <w:r>
        <w:t xml:space="preserve">(PCR-006), anion exchange (PCR-008) and small-virus retentive filtration (PCR-009), where it</w:t>
      </w:r>
      <w:r>
        <w:t xml:space="preserve"> </w:t>
      </w:r>
      <w:r>
        <w:t xml:space="preserve">is consolidated into the summary held in PCMR-001.</w:t>
      </w:r>
    </w:p>
    <w:bookmarkEnd w:id="16"/>
    <w:bookmarkStart w:id="18" w:name="related-documents"/>
    <w:p>
      <w:pPr>
        <w:pStyle w:val="Heading2"/>
      </w:pPr>
      <w:r>
        <w:t xml:space="preserve">1.4 Related documents</w:t>
      </w:r>
    </w:p>
    <w:p>
      <w:pPr>
        <w:pStyle w:val="FirstParagraph"/>
      </w:pPr>
      <w:r>
        <w:t xml:space="preserve">The risk basis for the scope of this study is RA-001, the paired protocol is PCP-004, the</w:t>
      </w:r>
      <w:r>
        <w:t xml:space="preserve"> </w:t>
      </w:r>
      <w:r>
        <w:t xml:space="preserve">transfer context is PTP-001, and the cross-references are listed in</w:t>
      </w:r>
      <w:r>
        <w:t xml:space="preserve"> </w:t>
      </w:r>
      <w:hyperlink w:anchor="tbl-related">
        <w:r>
          <w:rPr>
            <w:rStyle w:val="Hyperlink"/>
          </w:rPr>
          <w:t xml:space="preserve">Table 3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" w:name="tbl-relate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Related documents in the A-Mab characterization package.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981"/>
              <w:gridCol w:w="4516"/>
              <w:gridCol w:w="242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Document ID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Title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Relationship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PTP-001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Transfer Plan (A-Mab Drug Substance)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Parent — transfer scope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RA-001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Pre-Characterization Process Risk Assessment (A-Mab Drug Substance)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Parent — risk basis for study scope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PCMP-001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Characterization Master Plan (A-Mab Drug Substance)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Parent — master plan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PCP-004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Characterization Plan (Harvest and Clarification (Step 4))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Sibling — paired document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PCMR-001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Characterization Master Report (A-Mab Drug Substance)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Rolls up into</w:t>
                  </w:r>
                </w:p>
              </w:tc>
            </w:tr>
          </w:tbl>
          <w:bookmarkEnd w:id="17"/>
          <w:p/>
        </w:tc>
      </w:tr>
    </w:tbl>
    <w:bookmarkEnd w:id="18"/>
    <w:bookmarkEnd w:id="19"/>
    <w:bookmarkStart w:id="24" w:name="prior-knowledge-and-quality-risk-basis"/>
    <w:p>
      <w:pPr>
        <w:pStyle w:val="Heading1"/>
      </w:pPr>
      <w:r>
        <w:t xml:space="preserve">2. Prior knowledge and quality risk basis</w:t>
      </w:r>
    </w:p>
    <w:bookmarkStart w:id="20" w:name="platform-and-prior-product-knowledge"/>
    <w:p>
      <w:pPr>
        <w:pStyle w:val="Heading2"/>
      </w:pPr>
      <w:r>
        <w:t xml:space="preserve">2.1 Platform and prior-product knowledge</w:t>
      </w:r>
    </w:p>
    <w:p>
      <w:pPr>
        <w:pStyle w:val="FirstParagraph"/>
      </w:pPr>
      <w:r>
        <w:t xml:space="preserve">Centrifugation followed by depth filtration is the established primary-recovery platform at</w:t>
      </w:r>
      <w:r>
        <w:t xml:space="preserve"> </w:t>
      </w:r>
      <w:r>
        <w:t xml:space="preserve">Novacyte Biologics, and it has been used without change for three previous humanized IgG1</w:t>
      </w:r>
      <w:r>
        <w:t xml:space="preserve"> </w:t>
      </w:r>
      <w:r>
        <w:t xml:space="preserve">products (X-Mab, Y-Mab and Z-Mab). The mechanisms are physical and well understood. Solids</w:t>
      </w:r>
      <w:r>
        <w:t xml:space="preserve"> </w:t>
      </w:r>
      <w:r>
        <w:t xml:space="preserve">are removed in the centrifuge by sedimentation, so removal improves as relative centrifugal</w:t>
      </w:r>
      <w:r>
        <w:t xml:space="preserve"> </w:t>
      </w:r>
      <w:r>
        <w:t xml:space="preserve">force (rcf) rises and as feed flow falls. The depth filter removes the fine solids that</w:t>
      </w:r>
      <w:r>
        <w:t xml:space="preserve"> </w:t>
      </w:r>
      <w:r>
        <w:t xml:space="preserve">remain, by a combination of size exclusion and adsorption, and its capacity is expressed as</w:t>
      </w:r>
      <w:r>
        <w:t xml:space="preserve"> </w:t>
      </w:r>
      <w:r>
        <w:t xml:space="preserve">the volume filtered per unit of filter area (L/m</w:t>
      </w:r>
      <w:r>
        <w:rPr>
          <w:vertAlign w:val="superscript"/>
        </w:rPr>
        <w:t xml:space="preserve">2</w:t>
      </w:r>
      <w:r>
        <w:t xml:space="preserve">). As that capacity is consumed, retained solids</w:t>
      </w:r>
      <w:r>
        <w:t xml:space="preserve"> </w:t>
      </w:r>
      <w:r>
        <w:t xml:space="preserve">begin to pass and the turbidity of the filtrate rises.</w:t>
      </w:r>
    </w:p>
    <w:p>
      <w:pPr>
        <w:pStyle w:val="BodyText"/>
      </w:pPr>
      <w:r>
        <w:t xml:space="preserve">Two expectations follow from these mechanisms, and the study was designed to test them. The</w:t>
      </w:r>
      <w:r>
        <w:t xml:space="preserve"> </w:t>
      </w:r>
      <w:r>
        <w:t xml:space="preserve">first is that clarification performance depends on centrifugation force and on filter</w:t>
      </w:r>
      <w:r>
        <w:t xml:space="preserve"> </w:t>
      </w:r>
      <w:r>
        <w:t xml:space="preserve">loading, and that the loading limit is reached before the sedimentation limit at the</w:t>
      </w:r>
      <w:r>
        <w:t xml:space="preserve"> </w:t>
      </w:r>
      <w:r>
        <w:t xml:space="preserve">platform set-points. The second is that neither setting changes product quality, because</w:t>
      </w:r>
      <w:r>
        <w:t xml:space="preserve"> </w:t>
      </w:r>
      <w:r>
        <w:t xml:space="preserve">neither has a mechanism that acts on the antibody, and prior product experience supports</w:t>
      </w:r>
      <w:r>
        <w:t xml:space="preserve"> </w:t>
      </w:r>
      <w:r>
        <w:t xml:space="preserve">both expectations, as does the treatment of primary recovery in the A-Mab case study</w:t>
      </w:r>
      <w:r>
        <w:t xml:space="preserve"> </w:t>
      </w:r>
      <w:r>
        <w:t xml:space="preserve">(CMC Biotech Working Group 2009)</w:t>
      </w:r>
      <w:r>
        <w:t xml:space="preserve">. That experience reduced the scope of this study to a univariate assessment of</w:t>
      </w:r>
      <w:r>
        <w:t xml:space="preserve"> </w:t>
      </w:r>
      <w:r>
        <w:t xml:space="preserve">three parameters.</w:t>
      </w:r>
    </w:p>
    <w:p>
      <w:pPr>
        <w:pStyle w:val="BodyText"/>
      </w:pPr>
      <w:r>
        <w:t xml:space="preserve">The impurity burden entering capture is set upstream. Host cell protein and DNA are released</w:t>
      </w:r>
      <w:r>
        <w:t xml:space="preserve"> </w:t>
      </w:r>
      <w:r>
        <w:t xml:space="preserve">by the culture, and the burden rises with culture duration and with the fall in</w:t>
      </w:r>
      <w:r>
        <w:t xml:space="preserve"> </w:t>
      </w:r>
      <w:r>
        <w:t xml:space="preserve">end-of-culture viability that accompanies it. In the nominal batch the culture was harvested</w:t>
      </w:r>
      <w:r>
        <w:t xml:space="preserve"> </w:t>
      </w:r>
      <w:r>
        <w:t xml:space="preserve">at a viability of 67.1 % and a titre of</w:t>
      </w:r>
      <w:r>
        <w:t xml:space="preserve"> </w:t>
      </w:r>
      <w:r>
        <w:t xml:space="preserve">4.37 g/L. Clarification carries that burden forward, and it</w:t>
      </w:r>
      <w:r>
        <w:t xml:space="preserve"> </w:t>
      </w:r>
      <w:r>
        <w:t xml:space="preserve">neither adds to it nor reduces it.</w:t>
      </w:r>
    </w:p>
    <w:bookmarkEnd w:id="20"/>
    <w:bookmarkStart w:id="22" w:name="quality-attributes-in-scope"/>
    <w:p>
      <w:pPr>
        <w:pStyle w:val="Heading2"/>
      </w:pPr>
      <w:r>
        <w:t xml:space="preserve">2.2 Quality attributes in scope</w:t>
      </w:r>
    </w:p>
    <w:p>
      <w:pPr>
        <w:pStyle w:val="FirstParagraph"/>
      </w:pPr>
      <w:r>
        <w:t xml:space="preserve">This step sets no critical quality attribute. The attributes it carries forward, and against</w:t>
      </w:r>
      <w:r>
        <w:t xml:space="preserve"> </w:t>
      </w:r>
      <w:r>
        <w:t xml:space="preserve">which its parameters were assessed, are given in</w:t>
      </w:r>
      <w:r>
        <w:t xml:space="preserve"> </w:t>
      </w:r>
      <w:hyperlink w:anchor="tbl-cqa">
        <w:r>
          <w:rPr>
            <w:rStyle w:val="Hyperlink"/>
          </w:rPr>
          <w:t xml:space="preserve">Table 4</w:t>
        </w:r>
      </w:hyperlink>
      <w:r>
        <w:t xml:space="preserve">. Host cell protein is the most</w:t>
      </w:r>
      <w:r>
        <w:t xml:space="preserve"> </w:t>
      </w:r>
      <w:r>
        <w:t xml:space="preserve">consequential of the three, at moderate to high criticality, because it is the impurity</w:t>
      </w:r>
      <w:r>
        <w:t xml:space="preserve"> </w:t>
      </w:r>
      <w:r>
        <w:t xml:space="preserve">present in the largest amount in the clarified harvest. Aggregate is of high criticality and</w:t>
      </w:r>
      <w:r>
        <w:t xml:space="preserve"> </w:t>
      </w:r>
      <w:r>
        <w:t xml:space="preserve">is the one attribute with a plausible mechanism at this step, since shear at the centrifuge</w:t>
      </w:r>
      <w:r>
        <w:t xml:space="preserve"> </w:t>
      </w:r>
      <w:r>
        <w:t xml:space="preserve">feed zone could in principle raise it. Residual DNA is of very low criticality on its own,</w:t>
      </w:r>
      <w:r>
        <w:t xml:space="preserve"> </w:t>
      </w:r>
      <w:r>
        <w:t xml:space="preserve">and is cleared by a large margin downstream.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" w:name="tbl-cq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Quality attributes carried forward by the step, with acceptance criteria and criticality. None is formed or cleared here.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02"/>
              <w:gridCol w:w="1657"/>
              <w:gridCol w:w="1565"/>
              <w:gridCol w:w="1381"/>
              <w:gridCol w:w="1013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CQA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Category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Acceptance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Criticality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Tool #1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Host Cell Protein (HCP)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impurity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0–100 ng/mg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M-H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Aggregates (HMW)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size variant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0–5 % HMW (SEC)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Residual DNA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impurity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0–0.001 ng/dose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</w:tbl>
          <w:bookmarkEnd w:id="21"/>
          <w:p/>
        </w:tc>
      </w:tr>
    </w:tbl>
    <w:bookmarkEnd w:id="22"/>
    <w:bookmarkStart w:id="23" w:name="X8e350aaf11e00001962f0e94cfe08bc5c1a6d7b"/>
    <w:p>
      <w:pPr>
        <w:pStyle w:val="Heading2"/>
      </w:pPr>
      <w:r>
        <w:t xml:space="preserve">2.3 Risk-based prioritization and parameter selection</w:t>
      </w:r>
    </w:p>
    <w:p>
      <w:pPr>
        <w:pStyle w:val="FirstParagraph"/>
      </w:pPr>
      <w:r>
        <w:t xml:space="preserve">RA-001 ranked every parameter of the step for potential impact on quality attributes and for</w:t>
      </w:r>
      <w:r>
        <w:t xml:space="preserve"> </w:t>
      </w:r>
      <w:r>
        <w:t xml:space="preserve">potential interaction with other parameters, and all three fell into the band for which a</w:t>
      </w:r>
      <w:r>
        <w:t xml:space="preserve"> </w:t>
      </w:r>
      <w:r>
        <w:t xml:space="preserve">univariate assessment is sufficient, with none reaching the band that warrants a</w:t>
      </w:r>
      <w:r>
        <w:t xml:space="preserve"> </w:t>
      </w:r>
      <w:r>
        <w:t xml:space="preserve">multivariate design. The reason is the same in each case. No parameter of the step has a</w:t>
      </w:r>
      <w:r>
        <w:t xml:space="preserve"> </w:t>
      </w:r>
      <w:r>
        <w:t xml:space="preserve">mechanism by which it can act on a quality attribute, so the risk it carries is a</w:t>
      </w:r>
      <w:r>
        <w:t xml:space="preserve"> </w:t>
      </w:r>
      <w:r>
        <w:t xml:space="preserve">process-performance risk and not a quality risk.</w:t>
      </w:r>
    </w:p>
    <w:p>
      <w:pPr>
        <w:pStyle w:val="BodyText"/>
      </w:pPr>
      <w:r>
        <w:t xml:space="preserve">The characterized ranges were widened beyond the routine control ranges so that the study</w:t>
      </w:r>
      <w:r>
        <w:t xml:space="preserve"> </w:t>
      </w:r>
      <w:r>
        <w:t xml:space="preserve">would describe process robustness and not only the target condition. Centrifugation was</w:t>
      </w:r>
      <w:r>
        <w:t xml:space="preserve"> </w:t>
      </w:r>
      <w:r>
        <w:t xml:space="preserve">studied over 6000–12000 g, which is 3 times the width of its</w:t>
      </w:r>
      <w:r>
        <w:t xml:space="preserve"> </w:t>
      </w:r>
      <w:r>
        <w:t xml:space="preserve">normal operating range, and depth-filter loading over 80–160 L/m</w:t>
      </w:r>
      <w:r>
        <w:rPr>
          <w:vertAlign w:val="superscript"/>
        </w:rPr>
        <w:t xml:space="preserve">2</w:t>
      </w:r>
      <w:r>
        <w:t xml:space="preserve"> </w:t>
      </w:r>
      <w:r>
        <w:t xml:space="preserve">and turbidity over</w:t>
      </w:r>
      <w:r>
        <w:t xml:space="preserve"> </w:t>
      </w:r>
      <w:r>
        <w:t xml:space="preserve">1–20 NTU, each about 2 times the width of the</w:t>
      </w:r>
      <w:r>
        <w:t xml:space="preserve"> </w:t>
      </w:r>
      <w:r>
        <w:t xml:space="preserve">corresponding normal operating range. The lower centrifugation edge was set where prior</w:t>
      </w:r>
      <w:r>
        <w:t xml:space="preserve"> </w:t>
      </w:r>
      <w:r>
        <w:t xml:space="preserve">platform data show that sedimentation becomes incomplete, and the upper depth-filter edge</w:t>
      </w:r>
      <w:r>
        <w:t xml:space="preserve"> </w:t>
      </w:r>
      <w:r>
        <w:t xml:space="preserve">was set at the loading beyond which the platform filter is no longer guaranteed by its</w:t>
      </w:r>
      <w:r>
        <w:t xml:space="preserve"> </w:t>
      </w:r>
      <w:r>
        <w:t xml:space="preserve">vendor.</w:t>
      </w:r>
    </w:p>
    <w:bookmarkEnd w:id="23"/>
    <w:bookmarkEnd w:id="24"/>
    <w:bookmarkStart w:id="31" w:name="materials-and-methods"/>
    <w:p>
      <w:pPr>
        <w:pStyle w:val="Heading1"/>
      </w:pPr>
      <w:r>
        <w:t xml:space="preserve">3. Materials and methods</w:t>
      </w:r>
    </w:p>
    <w:bookmarkStart w:id="25" w:name="scale-down-model-and-its-qualification"/>
    <w:p>
      <w:pPr>
        <w:pStyle w:val="Heading2"/>
      </w:pPr>
      <w:r>
        <w:t xml:space="preserve">3.1 Scale-down model and its qualification</w:t>
      </w:r>
    </w:p>
    <w:p>
      <w:pPr>
        <w:pStyle w:val="FirstParagraph"/>
      </w:pPr>
      <w:r>
        <w:t xml:space="preserve">A scale-down model of the harvest and clarification step was qualified against</w:t>
      </w:r>
      <w:r>
        <w:t xml:space="preserve"> </w:t>
      </w:r>
      <w:r>
        <w:t xml:space="preserve">commercial-scale data before the study, under SOP-1001. The centrifuge model is a bench</w:t>
      </w:r>
      <w:r>
        <w:t xml:space="preserve"> </w:t>
      </w:r>
      <w:r>
        <w:t xml:space="preserve">disk-stack machine operated at the same relative centrifugal force and at a feed flow scaled</w:t>
      </w:r>
      <w:r>
        <w:t xml:space="preserve"> </w:t>
      </w:r>
      <w:r>
        <w:t xml:space="preserve">to hold the equivalent settling area constant (the sigma factor), so that the sedimentation</w:t>
      </w:r>
      <w:r>
        <w:t xml:space="preserve"> </w:t>
      </w:r>
      <w:r>
        <w:t xml:space="preserve">duty of the commercial machine (SOP-2005) is reproduced. The depth filter train uses the same filter</w:t>
      </w:r>
      <w:r>
        <w:t xml:space="preserve"> </w:t>
      </w:r>
      <w:r>
        <w:t xml:space="preserve">media as the commercial train and is operated at the same loading in litres per square</w:t>
      </w:r>
      <w:r>
        <w:t xml:space="preserve"> </w:t>
      </w:r>
      <w:r>
        <w:t xml:space="preserve">metre, so that capacity translates directly.</w:t>
      </w:r>
    </w:p>
    <w:p>
      <w:pPr>
        <w:pStyle w:val="BodyText"/>
      </w:pPr>
      <w:r>
        <w:t xml:space="preserve">Qualification compared step yield and post-clarification turbidity between the model and the</w:t>
      </w:r>
      <w:r>
        <w:t xml:space="preserve"> </w:t>
      </w:r>
      <w:r>
        <w:t xml:space="preserve">commercial-scale process at the target condition, and found no difference that the</w:t>
      </w:r>
      <w:r>
        <w:t xml:space="preserve"> </w:t>
      </w:r>
      <w:r>
        <w:t xml:space="preserve">analytical methods could resolve. The qualification record is held under SOP-1001 and is not</w:t>
      </w:r>
      <w:r>
        <w:t xml:space="preserve"> </w:t>
      </w:r>
      <w:r>
        <w:t xml:space="preserve">reproduced here. Two limits of the model should be read together with its results. It</w:t>
      </w:r>
      <w:r>
        <w:t xml:space="preserve"> </w:t>
      </w:r>
      <w:r>
        <w:t xml:space="preserve">reproduces the sedimentation and capacity duties, but it does not reproduce the full shear</w:t>
      </w:r>
      <w:r>
        <w:t xml:space="preserve"> </w:t>
      </w:r>
      <w:r>
        <w:t xml:space="preserve">history of a commercial disk-stack machine, and it operates at hold times shorter than those</w:t>
      </w:r>
      <w:r>
        <w:t xml:space="preserve"> </w:t>
      </w:r>
      <w:r>
        <w:t xml:space="preserve">of a commercial harvest. Both limits are addressed by confirming yield and turbidity at</w:t>
      </w:r>
      <w:r>
        <w:t xml:space="preserve"> </w:t>
      </w:r>
      <w:r>
        <w:t xml:space="preserve">scale during process performance qualification.</w:t>
      </w:r>
    </w:p>
    <w:bookmarkEnd w:id="25"/>
    <w:bookmarkStart w:id="26" w:name="operation"/>
    <w:p>
      <w:pPr>
        <w:pStyle w:val="Heading2"/>
      </w:pPr>
      <w:r>
        <w:t xml:space="preserve">3.2 Operation</w:t>
      </w:r>
    </w:p>
    <w:p>
      <w:pPr>
        <w:pStyle w:val="FirstParagraph"/>
      </w:pPr>
      <w:r>
        <w:t xml:space="preserve">The step was operated under SOP-2005 for centrifugation and SOP-2006 for depth and sterile</w:t>
      </w:r>
      <w:r>
        <w:t xml:space="preserve"> </w:t>
      </w:r>
      <w:r>
        <w:t xml:space="preserve">filtration, harvest begins at the end of the production culture, and the whole broth is fed</w:t>
      </w:r>
      <w:r>
        <w:t xml:space="preserve"> </w:t>
      </w:r>
      <w:r>
        <w:t xml:space="preserve">to the centrifuge without a hold. The centrate is clarified immediately, and the clarified</w:t>
      </w:r>
      <w:r>
        <w:t xml:space="preserve"> </w:t>
      </w:r>
      <w:r>
        <w:t xml:space="preserve">harvest is held in the capture feed vessel until Protein A processing begins. Filter media</w:t>
      </w:r>
      <w:r>
        <w:t xml:space="preserve"> </w:t>
      </w:r>
      <w:r>
        <w:t xml:space="preserve">are flushed and integrity-tested before use under SOP-2006.</w:t>
      </w:r>
    </w:p>
    <w:p>
      <w:pPr>
        <w:pStyle w:val="BodyText"/>
      </w:pPr>
      <w:r>
        <w:t xml:space="preserve">Inputs that are controlled to platform specification were not characterized here. Filter</w:t>
      </w:r>
      <w:r>
        <w:t xml:space="preserve"> </w:t>
      </w:r>
      <w:r>
        <w:t xml:space="preserve">media, buffers and the sterile filter are qualified by identity and quality on receipt, and</w:t>
      </w:r>
      <w:r>
        <w:t xml:space="preserve"> </w:t>
      </w:r>
      <w:r>
        <w:t xml:space="preserve">their control is exercised through the material specifications and not through a</w:t>
      </w:r>
      <w:r>
        <w:t xml:space="preserve"> </w:t>
      </w:r>
      <w:r>
        <w:t xml:space="preserve">characterization range.</w:t>
      </w:r>
    </w:p>
    <w:bookmarkEnd w:id="26"/>
    <w:bookmarkStart w:id="28" w:name="analytical-methods"/>
    <w:p>
      <w:pPr>
        <w:pStyle w:val="Heading2"/>
      </w:pPr>
      <w:r>
        <w:t xml:space="preserve">3.3 Analytical methods</w:t>
      </w:r>
    </w:p>
    <w:p>
      <w:pPr>
        <w:pStyle w:val="FirstParagraph"/>
      </w:pPr>
      <w:r>
        <w:t xml:space="preserve">Turbidity is the primary in-process measure of clarification and was determined by</w:t>
      </w:r>
      <w:r>
        <w:t xml:space="preserve"> </w:t>
      </w:r>
      <w:r>
        <w:t xml:space="preserve">nephelometry (AMV-3015), while host cell protein was measured by ELISA (AMV-3012) and</w:t>
      </w:r>
      <w:r>
        <w:t xml:space="preserve"> </w:t>
      </w:r>
      <w:r>
        <w:t xml:space="preserve">residual DNA by qPCR (AMV-3014), both to describe the burden handed to capture. Aggregate</w:t>
      </w:r>
      <w:r>
        <w:t xml:space="preserve"> </w:t>
      </w:r>
      <w:r>
        <w:t xml:space="preserve">was followed by SEC-HPLC (AMV-3011) to confirm that clarification does not change the size</w:t>
      </w:r>
      <w:r>
        <w:t xml:space="preserve"> </w:t>
      </w:r>
      <w:r>
        <w:t xml:space="preserve">distribution. The controlled documents that govern the step are listed in</w:t>
      </w:r>
      <w:r>
        <w:t xml:space="preserve"> </w:t>
      </w:r>
      <w:hyperlink w:anchor="tbl-methods">
        <w:r>
          <w:rPr>
            <w:rStyle w:val="Hyperlink"/>
          </w:rPr>
          <w:t xml:space="preserve">Table 5</w:t>
        </w:r>
      </w:hyperlink>
      <w:r>
        <w:t xml:space="preserve">, and</w:t>
      </w:r>
      <w:r>
        <w:t xml:space="preserve"> </w:t>
      </w:r>
      <w:r>
        <w:t xml:space="preserve">method performance is given in Appendix B.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" w:name="tbl-method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Procedures and validated analytical methods applied to the step.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050"/>
              <w:gridCol w:w="5333"/>
              <w:gridCol w:w="1535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Reference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Title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SOP-1001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Qualification of Scale-Down Models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SOP-2005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Harvest by Continuous Disk-Stack Centrifugation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SOP-2006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Clarification by Depth and Sterile Filtration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SOP-4001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Process-Parameter Classification and Control-Strategy Definition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AMV-3015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Turbidity by Nephelometry (NTU)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Method validation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AMV-3012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Host-Cell Protein ELISA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Method validation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AMV-3014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Residual DNA (qPCR)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Method validation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AMV-3011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Size-Variants (SEC-HPLC)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Method validation</w:t>
                  </w:r>
                </w:p>
              </w:tc>
            </w:tr>
          </w:tbl>
          <w:bookmarkEnd w:id="27"/>
          <w:p/>
        </w:tc>
      </w:tr>
    </w:tbl>
    <w:bookmarkEnd w:id="28"/>
    <w:bookmarkStart w:id="29" w:name="sampling-plan"/>
    <w:p>
      <w:pPr>
        <w:pStyle w:val="Heading2"/>
      </w:pPr>
      <w:r>
        <w:t xml:space="preserve">3.4 Sampling plan</w:t>
      </w:r>
    </w:p>
    <w:p>
      <w:pPr>
        <w:pStyle w:val="FirstParagraph"/>
      </w:pPr>
      <w:r>
        <w:t xml:space="preserve">Each run was sampled at three points: the whole broth at the start of harvest, the centrate</w:t>
      </w:r>
      <w:r>
        <w:t xml:space="preserve"> </w:t>
      </w:r>
      <w:r>
        <w:t xml:space="preserve">once the centrifuge had reached steady discharge, and the clarified harvest at the end of</w:t>
      </w:r>
      <w:r>
        <w:t xml:space="preserve"> </w:t>
      </w:r>
      <w:r>
        <w:t xml:space="preserve">filtration. Turbidity was measured in-process on the clarified harvest and the remaining</w:t>
      </w:r>
      <w:r>
        <w:t xml:space="preserve"> </w:t>
      </w:r>
      <w:r>
        <w:t xml:space="preserve">assays were run on the end-of-filtration sample, and retained samples of every clarified</w:t>
      </w:r>
      <w:r>
        <w:t xml:space="preserve"> </w:t>
      </w:r>
      <w:r>
        <w:t xml:space="preserve">harvest are held for the campaign, so that a later question about a run can be answered on</w:t>
      </w:r>
      <w:r>
        <w:t xml:space="preserve"> </w:t>
      </w:r>
      <w:r>
        <w:t xml:space="preserve">retained material.</w:t>
      </w:r>
    </w:p>
    <w:bookmarkEnd w:id="29"/>
    <w:bookmarkStart w:id="30" w:name="statistical-methods"/>
    <w:p>
      <w:pPr>
        <w:pStyle w:val="Heading2"/>
      </w:pPr>
      <w:r>
        <w:t xml:space="preserve">3.5 Statistical methods</w:t>
      </w:r>
    </w:p>
    <w:p>
      <w:pPr>
        <w:pStyle w:val="FirstParagraph"/>
      </w:pPr>
      <w:r>
        <w:t xml:space="preserve">Each parameter was varied one at a time across its characterized range with the other</w:t>
      </w:r>
      <w:r>
        <w:t xml:space="preserve"> </w:t>
      </w:r>
      <w:r>
        <w:t xml:space="preserve">parameters held at their set-points. Responses were summarized descriptively, and no</w:t>
      </w:r>
      <w:r>
        <w:t xml:space="preserve"> </w:t>
      </w:r>
      <w:r>
        <w:t xml:space="preserve">multivariate model was fitted. That choice follows from the risk assessment. A response</w:t>
      </w:r>
      <w:r>
        <w:t xml:space="preserve"> </w:t>
      </w:r>
      <w:r>
        <w:t xml:space="preserve">surface is the predictive model that defines a design space, and it is worth building only</w:t>
      </w:r>
      <w:r>
        <w:t xml:space="preserve"> </w:t>
      </w:r>
      <w:r>
        <w:t xml:space="preserve">where a parameter acts on a quality attribute, which at this step is true of none of them,</w:t>
      </w:r>
      <w:r>
        <w:t xml:space="preserve"> </w:t>
      </w:r>
      <w:r>
        <w:t xml:space="preserve">so there is no response to model and no design space to define.</w:t>
      </w:r>
    </w:p>
    <w:p>
      <w:pPr>
        <w:pStyle w:val="BodyText"/>
      </w:pPr>
      <w:r>
        <w:t xml:space="preserve">Commercial-scale capability for the attributes this step hands forward was taken from the</w:t>
      </w:r>
      <w:r>
        <w:t xml:space="preserve"> </w:t>
      </w:r>
      <w:r>
        <w:t xml:space="preserve">Monte-Carlo simulation of 2,000 batches that supports the</w:t>
      </w:r>
      <w:r>
        <w:t xml:space="preserve"> </w:t>
      </w:r>
      <w:r>
        <w:t xml:space="preserve">whole train, and it is reported in §8 as cross-step context. Capability is expressed as a</w:t>
      </w:r>
      <w:r>
        <w:t xml:space="preserve"> </w:t>
      </w:r>
      <w:r>
        <w:t xml:space="preserve">one-sided Cpk against the acceptance limit.</w:t>
      </w:r>
    </w:p>
    <w:bookmarkEnd w:id="30"/>
    <w:bookmarkEnd w:id="31"/>
    <w:bookmarkStart w:id="35" w:name="study-design"/>
    <w:p>
      <w:pPr>
        <w:pStyle w:val="Heading1"/>
      </w:pPr>
      <w:r>
        <w:t xml:space="preserve">4. Study design</w:t>
      </w:r>
    </w:p>
    <w:bookmarkStart w:id="33" w:name="Xf1c3c0d05c16969c14f9b52ebf870d135fc1ba2"/>
    <w:p>
      <w:pPr>
        <w:pStyle w:val="Heading2"/>
      </w:pPr>
      <w:r>
        <w:t xml:space="preserve">4.1 Parameters, ranges and the knowledge space</w:t>
      </w:r>
    </w:p>
    <w:p>
      <w:pPr>
        <w:pStyle w:val="FirstParagraph"/>
      </w:pPr>
      <w:r>
        <w:t xml:space="preserve">The parameters, their set-points, their normal operating ranges and the ranges over which</w:t>
      </w:r>
      <w:r>
        <w:t xml:space="preserve"> </w:t>
      </w:r>
      <w:r>
        <w:t xml:space="preserve">they were characterized are given in</w:t>
      </w:r>
      <w:r>
        <w:t xml:space="preserve"> </w:t>
      </w:r>
      <w:hyperlink w:anchor="tbl-params">
        <w:r>
          <w:rPr>
            <w:rStyle w:val="Hyperlink"/>
          </w:rPr>
          <w:t xml:space="preserve">Table 6</w:t>
        </w:r>
      </w:hyperlink>
      <w:r>
        <w:t xml:space="preserve">, together with the final classification and</w:t>
      </w:r>
      <w:r>
        <w:t xml:space="preserve"> </w:t>
      </w:r>
      <w:r>
        <w:t xml:space="preserve">the study type. The characterized range is the knowledge space of the step. It is wider than</w:t>
      </w:r>
      <w:r>
        <w:t xml:space="preserve"> </w:t>
      </w:r>
      <w:r>
        <w:t xml:space="preserve">the normal operating range on both sides, and the normal operating range is nested inside it</w:t>
      </w:r>
      <w:r>
        <w:t xml:space="preserve"> </w:t>
      </w:r>
      <w:r>
        <w:t xml:space="preserve">with margin at each edge.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" w:name="tbl-param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Parameters of the harvest and clarification step, with set-points, normal operating ranges, characterized ranges, final classification and study type.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400"/>
              <w:gridCol w:w="640"/>
              <w:gridCol w:w="1040"/>
              <w:gridCol w:w="960"/>
              <w:gridCol w:w="1200"/>
              <w:gridCol w:w="720"/>
              <w:gridCol w:w="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Unit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Set-point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Char. range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Class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Study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Centrifugation (rcf)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9e+03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8000–10000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6000–12000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KPP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univariate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Depth filter load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L/m2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100–140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80–160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KPP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univariate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Post-clarification turbidity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NTU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1–10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1–20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GPP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univariate</w:t>
                  </w:r>
                </w:p>
              </w:tc>
            </w:tr>
          </w:tbl>
          <w:bookmarkEnd w:id="32"/>
          <w:p/>
        </w:tc>
      </w:tr>
    </w:tbl>
    <w:p>
      <w:pPr>
        <w:pStyle w:val="BodyText"/>
      </w:pPr>
      <w:r>
        <w:t xml:space="preserve">Post-clarification turbidity appears in the register as a parameter, but it behaves as an</w:t>
      </w:r>
      <w:r>
        <w:t xml:space="preserve"> </w:t>
      </w:r>
      <w:r>
        <w:t xml:space="preserve">outcome and is not set by the operator. It is the measured result of the centrifugation and</w:t>
      </w:r>
      <w:r>
        <w:t xml:space="preserve"> </w:t>
      </w:r>
      <w:r>
        <w:t xml:space="preserve">filtration settings and the attribute by which the clarified harvest is accepted for</w:t>
      </w:r>
      <w:r>
        <w:t xml:space="preserve"> </w:t>
      </w:r>
      <w:r>
        <w:t xml:space="preserve">capture, and it is characterized and controlled as a range for that reason.</w:t>
      </w:r>
    </w:p>
    <w:bookmarkEnd w:id="33"/>
    <w:bookmarkStart w:id="34" w:name="univariate-assessment"/>
    <w:p>
      <w:pPr>
        <w:pStyle w:val="Heading2"/>
      </w:pPr>
      <w:r>
        <w:t xml:space="preserve">4.2 Univariate assessment</w:t>
      </w:r>
    </w:p>
    <w:p>
      <w:pPr>
        <w:pStyle w:val="FirstParagraph"/>
      </w:pPr>
      <w:r>
        <w:t xml:space="preserve">No designed experiment was executed at this step, and none is reported. Centrifugation force</w:t>
      </w:r>
      <w:r>
        <w:t xml:space="preserve"> </w:t>
      </w:r>
      <w:r>
        <w:t xml:space="preserve">was assessed across 6000–12000 g with depth-filter loading at its set-point of</w:t>
      </w:r>
      <w:r>
        <w:t xml:space="preserve"> </w:t>
      </w:r>
      <w:r>
        <w:t xml:space="preserve">120 L/m</w:t>
      </w:r>
      <w:r>
        <w:rPr>
          <w:vertAlign w:val="superscript"/>
        </w:rPr>
        <w:t xml:space="preserve">2</w:t>
      </w:r>
      <w:r>
        <w:t xml:space="preserve">. Depth-filter loading was then assessed across 80–160 L/m</w:t>
      </w:r>
      <w:r>
        <w:rPr>
          <w:vertAlign w:val="superscript"/>
        </w:rPr>
        <w:t xml:space="preserve">2</w:t>
      </w:r>
      <w:r>
        <w:t xml:space="preserve"> </w:t>
      </w:r>
      <w:r>
        <w:t xml:space="preserve">with</w:t>
      </w:r>
      <w:r>
        <w:t xml:space="preserve"> </w:t>
      </w:r>
      <w:r>
        <w:t xml:space="preserve">centrifugation at its set-point of 9000 g, and turbidity was recorded on every</w:t>
      </w:r>
      <w:r>
        <w:t xml:space="preserve"> </w:t>
      </w:r>
      <w:r>
        <w:t xml:space="preserve">run, with product quality measured on the clarified harvest of each. Verification runs at</w:t>
      </w:r>
      <w:r>
        <w:t xml:space="preserve"> </w:t>
      </w:r>
      <w:r>
        <w:t xml:space="preserve">the set-point condition bracketed the study, so that a drift in the model or in the assays</w:t>
      </w:r>
      <w:r>
        <w:t xml:space="preserve"> </w:t>
      </w:r>
      <w:r>
        <w:t xml:space="preserve">over the campaign would have been visible.</w:t>
      </w:r>
    </w:p>
    <w:p>
      <w:pPr>
        <w:pStyle w:val="BodyText"/>
      </w:pPr>
      <w:r>
        <w:t xml:space="preserve">The limitation of a univariate design is that it cannot resolve an interaction between the</w:t>
      </w:r>
      <w:r>
        <w:t xml:space="preserve"> </w:t>
      </w:r>
      <w:r>
        <w:t xml:space="preserve">two settings. That limitation is accepted here because the two act on different solids</w:t>
      </w:r>
      <w:r>
        <w:t xml:space="preserve"> </w:t>
      </w:r>
      <w:r>
        <w:t xml:space="preserve">populations, the centrifuge on the sedimentable fraction and the filter on the fine</w:t>
      </w:r>
      <w:r>
        <w:t xml:space="preserve"> </w:t>
      </w:r>
      <w:r>
        <w:t xml:space="preserve">fraction, and because neither acts on product quality. An interaction between them could</w:t>
      </w:r>
      <w:r>
        <w:t xml:space="preserve"> </w:t>
      </w:r>
      <w:r>
        <w:t xml:space="preserve">change clarification performance, and it could not change a quality attribute.</w:t>
      </w:r>
    </w:p>
    <w:bookmarkEnd w:id="34"/>
    <w:bookmarkEnd w:id="35"/>
    <w:bookmarkStart w:id="44" w:name="results"/>
    <w:p>
      <w:pPr>
        <w:pStyle w:val="Heading1"/>
      </w:pPr>
      <w:r>
        <w:t xml:space="preserve">5. Results</w:t>
      </w:r>
    </w:p>
    <w:bookmarkStart w:id="40" w:name="step-yield-and-mass-balance"/>
    <w:p>
      <w:pPr>
        <w:pStyle w:val="Heading2"/>
      </w:pPr>
      <w:r>
        <w:t xml:space="preserve">5.1 Step yield and mass balance</w:t>
      </w:r>
    </w:p>
    <w:p>
      <w:pPr>
        <w:pStyle w:val="FirstParagraph"/>
      </w:pPr>
      <w:r>
        <w:t xml:space="preserve">The step recovers almost all of the product presented to it. In the nominal commercial-scale</w:t>
      </w:r>
      <w:r>
        <w:t xml:space="preserve"> </w:t>
      </w:r>
      <w:r>
        <w:t xml:space="preserve">simulation 65.6 kg of A-Mab entered the centrifuge and</w:t>
      </w:r>
      <w:r>
        <w:t xml:space="preserve"> </w:t>
      </w:r>
      <w:r>
        <w:t xml:space="preserve">64.1 kg left the sterile filter, a step yield of</w:t>
      </w:r>
      <w:r>
        <w:t xml:space="preserve"> </w:t>
      </w:r>
      <w:r>
        <w:t xml:space="preserve">97.7%. The loss of 1.5 kg is product held</w:t>
      </w:r>
      <w:r>
        <w:t xml:space="preserve"> </w:t>
      </w:r>
      <w:r>
        <w:t xml:space="preserve">in the discharged solids and in the wetted filter train. Step yield varies from batch to</w:t>
      </w:r>
      <w:r>
        <w:t xml:space="preserve"> </w:t>
      </w:r>
      <w:r>
        <w:t xml:space="preserve">batch with a coefficient of variation of 2.0%.</w:t>
      </w:r>
    </w:p>
    <w:p>
      <w:pPr>
        <w:pStyle w:val="BodyText"/>
      </w:pPr>
      <w:r>
        <w:t xml:space="preserve">Recovery showed no dependence on centrifugation force or on depth-filter loading over the</w:t>
      </w:r>
      <w:r>
        <w:t xml:space="preserve"> </w:t>
      </w:r>
      <w:r>
        <w:t xml:space="preserve">ranges assessed, and the loss is dominated by hold-up in the solids and in the filter media,</w:t>
      </w:r>
      <w:r>
        <w:t xml:space="preserve"> </w:t>
      </w:r>
      <w:r>
        <w:t xml:space="preserve">which does not change appreciably across those ranges. The step accounts for</w:t>
      </w:r>
      <w:r>
        <w:t xml:space="preserve"> </w:t>
      </w:r>
      <w:r>
        <w:t xml:space="preserve">13.8% of the total product loss across the train, which delivers a</w:t>
      </w:r>
      <w:r>
        <w:t xml:space="preserve"> </w:t>
      </w:r>
      <w:r>
        <w:t xml:space="preserve">cumulative yield of 83.2% (</w:t>
      </w:r>
      <w:hyperlink w:anchor="fig-yield">
        <w:r>
          <w:rPr>
            <w:rStyle w:val="Hyperlink"/>
          </w:rPr>
          <w:t xml:space="preserve">Figure 1</w:t>
        </w:r>
      </w:hyperlink>
      <w:r>
        <w:t xml:space="preserve">), and yield at this step is</w:t>
      </w:r>
      <w:r>
        <w:t xml:space="preserve"> </w:t>
      </w:r>
      <w:r>
        <w:t xml:space="preserve">therefore a process-performance concern and not a constraint on the process.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9" w:name="fig-yield"/>
          <w:p>
            <w:pPr>
              <w:pStyle w:val="Compact"/>
              <w:jc w:val="center"/>
            </w:pPr>
            <w:r>
              <w:drawing>
                <wp:inline>
                  <wp:extent cx="5334000" cy="290478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../outputs/figures/fig_yield_waterfall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90478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Cumulative product yield across the drug-substance train, with harvest and clarification as the first loss in the sequence.</w:t>
            </w:r>
          </w:p>
          <w:bookmarkEnd w:id="39"/>
        </w:tc>
      </w:tr>
    </w:tbl>
    <w:bookmarkEnd w:id="40"/>
    <w:bookmarkStart w:id="41" w:name="X6c5e6ca2a5e9a5bb4ce246a0f3ae056a76d05a8"/>
    <w:p>
      <w:pPr>
        <w:pStyle w:val="Heading2"/>
      </w:pPr>
      <w:r>
        <w:t xml:space="preserve">5.2 Clarification performance and filter capacity</w:t>
      </w:r>
    </w:p>
    <w:p>
      <w:pPr>
        <w:pStyle w:val="FirstParagraph"/>
      </w:pPr>
      <w:r>
        <w:t xml:space="preserve">Clarification met its in-process expectation across the ranges studied, with one excursion</w:t>
      </w:r>
      <w:r>
        <w:t xml:space="preserve"> </w:t>
      </w:r>
      <w:r>
        <w:t xml:space="preserve">that is described below. Post-clarification turbidity at the set-point condition was</w:t>
      </w:r>
      <w:r>
        <w:t xml:space="preserve"> </w:t>
      </w:r>
      <w:r>
        <w:t xml:space="preserve">5 NTU, in the middle of the normal operating range of</w:t>
      </w:r>
      <w:r>
        <w:t xml:space="preserve"> </w:t>
      </w:r>
      <w:r>
        <w:t xml:space="preserve">1–10 NTU. The nephelometric method has a precision of 4 %</w:t>
      </w:r>
      <w:r>
        <w:t xml:space="preserve"> </w:t>
      </w:r>
      <w:r>
        <w:t xml:space="preserve">and a limit of quantitation of 0.5 NTU (Appendix B), so the excursion</w:t>
      </w:r>
      <w:r>
        <w:t xml:space="preserve"> </w:t>
      </w:r>
      <w:r>
        <w:t xml:space="preserve">described below is well outside assay variability.</w:t>
      </w:r>
    </w:p>
    <w:p>
      <w:pPr>
        <w:pStyle w:val="BodyText"/>
      </w:pPr>
      <w:r>
        <w:t xml:space="preserve">Turbidity rose as depth-filter loading approached the top of its characterized range, which</w:t>
      </w:r>
      <w:r>
        <w:t xml:space="preserve"> </w:t>
      </w:r>
      <w:r>
        <w:t xml:space="preserve">is the expected consequence of consuming filter capacity and is the mechanism set out in</w:t>
      </w:r>
      <w:r>
        <w:t xml:space="preserve"> </w:t>
      </w:r>
      <w:r>
        <w:t xml:space="preserve">§2.1. One run exceeded the upper limit of the normal operating range and reached</w:t>
      </w:r>
      <w:r>
        <w:t xml:space="preserve"> </w:t>
      </w:r>
      <w:r>
        <w:t xml:space="preserve">12.5 NTU, which is</w:t>
      </w:r>
      <w:r>
        <w:t xml:space="preserve"> </w:t>
      </w:r>
      <w:r>
        <w:t xml:space="preserve">2.5 NTU above that limit, at a loading near the maximum</w:t>
      </w:r>
      <w:r>
        <w:t xml:space="preserve"> </w:t>
      </w:r>
      <w:r>
        <w:t xml:space="preserve">characterized value of 160 L/m</w:t>
      </w:r>
      <w:r>
        <w:rPr>
          <w:vertAlign w:val="superscript"/>
        </w:rPr>
        <w:t xml:space="preserve">2</w:t>
      </w:r>
      <w:r>
        <w:t xml:space="preserve"> </w:t>
      </w:r>
      <w:r>
        <w:t xml:space="preserve">(DEV-004-02, §13). The value remains inside the</w:t>
      </w:r>
      <w:r>
        <w:t xml:space="preserve"> </w:t>
      </w:r>
      <w:r>
        <w:t xml:space="preserve">characterized turbidity range of 1–20 NTU, and the run was retained.</w:t>
      </w:r>
      <w:r>
        <w:t xml:space="preserve"> </w:t>
      </w:r>
      <w:r>
        <w:t xml:space="preserve">Centrifugation force produced no comparable trend over 6000–12000 g, which is</w:t>
      </w:r>
      <w:r>
        <w:t xml:space="preserve"> </w:t>
      </w:r>
      <w:r>
        <w:t xml:space="preserve">consistent with sedimentation being complete well below the upper edge of that range.</w:t>
      </w:r>
    </w:p>
    <w:bookmarkEnd w:id="41"/>
    <w:bookmarkStart w:id="42" w:name="Xc8b2ca7414a26ccf2eaf31a65844beaf4c24fe3"/>
    <w:p>
      <w:pPr>
        <w:pStyle w:val="Heading2"/>
      </w:pPr>
      <w:r>
        <w:t xml:space="preserve">5.3 Impurity burden carried to Protein A capture</w:t>
      </w:r>
    </w:p>
    <w:p>
      <w:pPr>
        <w:pStyle w:val="FirstParagraph"/>
      </w:pPr>
      <w:r>
        <w:t xml:space="preserve">The clarified harvest carries a large host cell protein burden into capture. At the nominal</w:t>
      </w:r>
      <w:r>
        <w:t xml:space="preserve"> </w:t>
      </w:r>
      <w:r>
        <w:t xml:space="preserve">culture condition the level is about 500,000 ng/mg by ELISA, and</w:t>
      </w:r>
      <w:r>
        <w:t xml:space="preserve"> </w:t>
      </w:r>
      <w:r>
        <w:t xml:space="preserve">residual DNA is present at a correspondingly high level. Neither is reduced here. Both are</w:t>
      </w:r>
      <w:r>
        <w:t xml:space="preserve"> </w:t>
      </w:r>
      <w:r>
        <w:t xml:space="preserve">carried forward to Protein A capture, which is the first step of the train with a mechanism</w:t>
      </w:r>
      <w:r>
        <w:t xml:space="preserve"> </w:t>
      </w:r>
      <w:r>
        <w:t xml:space="preserve">that separates them from the antibody (affinity binding).</w:t>
      </w:r>
    </w:p>
    <w:p>
      <w:pPr>
        <w:pStyle w:val="BodyText"/>
      </w:pPr>
      <w:r>
        <w:t xml:space="preserve">Clearance is a property of the purification train and not of this step. Protein A capture</w:t>
      </w:r>
      <w:r>
        <w:t xml:space="preserve"> </w:t>
      </w:r>
      <w:r>
        <w:t xml:space="preserve">reduces host cell protein 55-fold, to</w:t>
      </w:r>
      <w:r>
        <w:t xml:space="preserve"> </w:t>
      </w:r>
      <w:r>
        <w:t xml:space="preserve">9,125 ng/mg in the capture pool (PCR-005). Cation exchange and</w:t>
      </w:r>
      <w:r>
        <w:t xml:space="preserve"> </w:t>
      </w:r>
      <w:r>
        <w:t xml:space="preserve">anion exchange then complete the reduction (PCR-007, PCR-008), and the drug substance meets</w:t>
      </w:r>
      <w:r>
        <w:t xml:space="preserve"> </w:t>
      </w:r>
      <w:r>
        <w:t xml:space="preserve">its host cell protein limit of 100 ng/mg with a mean of</w:t>
      </w:r>
      <w:r>
        <w:t xml:space="preserve"> </w:t>
      </w:r>
      <w:r>
        <w:t xml:space="preserve">15.2 ng/mg (§8). The contribution of harvest and clarification to</w:t>
      </w:r>
      <w:r>
        <w:t xml:space="preserve"> </w:t>
      </w:r>
      <w:r>
        <w:t xml:space="preserve">that outcome is the consistency of the material it hands over, not a log of clearance.</w:t>
      </w:r>
    </w:p>
    <w:bookmarkEnd w:id="42"/>
    <w:bookmarkStart w:id="43" w:name="product-quality-across-the-step"/>
    <w:p>
      <w:pPr>
        <w:pStyle w:val="Heading2"/>
      </w:pPr>
      <w:r>
        <w:t xml:space="preserve">5.4 Product quality across the step</w:t>
      </w:r>
    </w:p>
    <w:p>
      <w:pPr>
        <w:pStyle w:val="FirstParagraph"/>
      </w:pPr>
      <w:r>
        <w:t xml:space="preserve">No quality attribute changed across clarification, and aggregate, charge-variant and glycan</w:t>
      </w:r>
      <w:r>
        <w:t xml:space="preserve"> </w:t>
      </w:r>
      <w:r>
        <w:t xml:space="preserve">levels measured in the clarified harvest were the same as those in the bioreactor broth</w:t>
      </w:r>
      <w:r>
        <w:t xml:space="preserve"> </w:t>
      </w:r>
      <w:r>
        <w:t xml:space="preserve">within the variability of the methods, which is what a step with no mechanism to act on the</w:t>
      </w:r>
      <w:r>
        <w:t xml:space="preserve"> </w:t>
      </w:r>
      <w:r>
        <w:t xml:space="preserve">antibody should give. Aggregate was followed most closely, by SEC-HPLC, because shear at the</w:t>
      </w:r>
      <w:r>
        <w:t xml:space="preserve"> </w:t>
      </w:r>
      <w:r>
        <w:t xml:space="preserve">centrifuge feed zone is the one plausible product-quality risk here. No increase was seen</w:t>
      </w:r>
      <w:r>
        <w:t xml:space="preserve"> </w:t>
      </w:r>
      <w:r>
        <w:t xml:space="preserve">over the centrifugation range assessed.</w:t>
      </w:r>
    </w:p>
    <w:p>
      <w:pPr>
        <w:pStyle w:val="BodyText"/>
      </w:pPr>
      <w:r>
        <w:t xml:space="preserve">That null result is a finding, and it is retained in the knowledge space. It is the evidence</w:t>
      </w:r>
      <w:r>
        <w:t xml:space="preserve"> </w:t>
      </w:r>
      <w:r>
        <w:t xml:space="preserve">that supports classifying both settable parameters as key and not critical (§9), and it is</w:t>
      </w:r>
      <w:r>
        <w:t xml:space="preserve"> </w:t>
      </w:r>
      <w:r>
        <w:t xml:space="preserve">the reason the step contributes nothing to the design space of the drug substance (§6). The</w:t>
      </w:r>
      <w:r>
        <w:t xml:space="preserve"> </w:t>
      </w:r>
      <w:r>
        <w:t xml:space="preserve">result is bounded by the ranges in</w:t>
      </w:r>
      <w:r>
        <w:t xml:space="preserve"> </w:t>
      </w:r>
      <w:hyperlink w:anchor="tbl-params">
        <w:r>
          <w:rPr>
            <w:rStyle w:val="Hyperlink"/>
          </w:rPr>
          <w:t xml:space="preserve">Table 6</w:t>
        </w:r>
      </w:hyperlink>
      <w:r>
        <w:t xml:space="preserve">, by the scale-down model described in §3.1,</w:t>
      </w:r>
      <w:r>
        <w:t xml:space="preserve"> </w:t>
      </w:r>
      <w:r>
        <w:t xml:space="preserve">and by the single culture condition from which the harvest material was taken.</w:t>
      </w:r>
    </w:p>
    <w:bookmarkEnd w:id="43"/>
    <w:bookmarkEnd w:id="44"/>
    <w:bookmarkStart w:id="45" w:name="design-space"/>
    <w:p>
      <w:pPr>
        <w:pStyle w:val="Heading1"/>
      </w:pPr>
      <w:r>
        <w:t xml:space="preserve">6. Design space</w:t>
      </w:r>
    </w:p>
    <w:p>
      <w:pPr>
        <w:pStyle w:val="FirstParagraph"/>
      </w:pPr>
      <w:r>
        <w:t xml:space="preserve">This step contributes no design space, since a design space is the multivariate region of</w:t>
      </w:r>
      <w:r>
        <w:t xml:space="preserve"> </w:t>
      </w:r>
      <w:r>
        <w:t xml:space="preserve">parameter settings that is known to give acceptable values of the critical quality</w:t>
      </w:r>
      <w:r>
        <w:t xml:space="preserve"> </w:t>
      </w:r>
      <w:r>
        <w:t xml:space="preserve">attributes, and it can only be defined for a step whose parameters act on such an attribute.</w:t>
      </w:r>
      <w:r>
        <w:t xml:space="preserve"> </w:t>
      </w:r>
      <w:r>
        <w:t xml:space="preserve">Harvest and clarification has no parameter that does, so the region is empty and its</w:t>
      </w:r>
      <w:r>
        <w:t xml:space="preserve"> </w:t>
      </w:r>
      <w:r>
        <w:t xml:space="preserve">parameters are controlled as ranges instead, and the A-Mab case study reaches the same</w:t>
      </w:r>
      <w:r>
        <w:t xml:space="preserve"> </w:t>
      </w:r>
      <w:r>
        <w:t xml:space="preserve">conclusion for the steps of the process that do not affect product quality</w:t>
      </w:r>
      <w:r>
        <w:t xml:space="preserve"> </w:t>
      </w:r>
      <w:r>
        <w:t xml:space="preserve">(CMC Biotech Working Group 2009)</w:t>
      </w:r>
      <w:r>
        <w:t xml:space="preserve">.</w:t>
      </w:r>
    </w:p>
    <w:p>
      <w:pPr>
        <w:pStyle w:val="BodyText"/>
      </w:pPr>
      <w:r>
        <w:t xml:space="preserve">Two consequences follow. Movement of centrifugation force or depth-filter loading within the</w:t>
      </w:r>
      <w:r>
        <w:t xml:space="preserve"> </w:t>
      </w:r>
      <w:r>
        <w:t xml:space="preserve">ranges given in §7 is not a change to the design space of the drug substance, and it is</w:t>
      </w:r>
      <w:r>
        <w:t xml:space="preserve"> </w:t>
      </w:r>
      <w:r>
        <w:t xml:space="preserve">managed under the quality system as a process-performance matter</w:t>
      </w:r>
      <w:r>
        <w:t xml:space="preserve"> </w:t>
      </w:r>
      <w:r>
        <w:t xml:space="preserve">(International Council for Harmonisation 2008)</w:t>
      </w:r>
      <w:r>
        <w:t xml:space="preserve">. Operation</w:t>
      </w:r>
      <w:r>
        <w:t xml:space="preserve"> </w:t>
      </w:r>
      <w:r>
        <w:t xml:space="preserve">outside those ranges is a change, and it requires the assessment set out in the control</w:t>
      </w:r>
      <w:r>
        <w:t xml:space="preserve"> </w:t>
      </w:r>
      <w:r>
        <w:t xml:space="preserve">strategy, since the ranges themselves are bounded by the scale-down model and by the single</w:t>
      </w:r>
      <w:r>
        <w:t xml:space="preserve"> </w:t>
      </w:r>
      <w:r>
        <w:t xml:space="preserve">culture condition studied.</w:t>
      </w:r>
    </w:p>
    <w:bookmarkEnd w:id="45"/>
    <w:bookmarkStart w:id="47" w:name="proven-acceptable-ranges"/>
    <w:p>
      <w:pPr>
        <w:pStyle w:val="Heading1"/>
      </w:pPr>
      <w:r>
        <w:t xml:space="preserve">7. Proven acceptable ranges</w:t>
      </w:r>
    </w:p>
    <w:p>
      <w:pPr>
        <w:pStyle w:val="FirstParagraph"/>
      </w:pPr>
      <w:r>
        <w:t xml:space="preserve">Each parameter was assessed univariately over its characterized range, and each range is</w:t>
      </w:r>
      <w:r>
        <w:t xml:space="preserve"> </w:t>
      </w:r>
      <w:r>
        <w:t xml:space="preserve">proven acceptable over its full width for the process-performance criteria of the step. The</w:t>
      </w:r>
      <w:r>
        <w:t xml:space="preserve"> </w:t>
      </w:r>
      <w:r>
        <w:t xml:space="preserve">ranges are given in</w:t>
      </w:r>
      <w:r>
        <w:t xml:space="preserve"> </w:t>
      </w:r>
      <w:hyperlink w:anchor="tbl-par">
        <w:r>
          <w:rPr>
            <w:rStyle w:val="Hyperlink"/>
          </w:rPr>
          <w:t xml:space="preserve">Table 7</w:t>
        </w:r>
      </w:hyperlink>
      <w:r>
        <w:t xml:space="preserve">. The acceptance basis here is not a drug-substance</w:t>
      </w:r>
      <w:r>
        <w:t xml:space="preserve"> </w:t>
      </w:r>
      <w:r>
        <w:t xml:space="preserve">specification, because the step governs no attribute that carries one, and it is instead the</w:t>
      </w:r>
      <w:r>
        <w:t xml:space="preserve"> </w:t>
      </w:r>
      <w:r>
        <w:t xml:space="preserve">pair of in-process criteria that the step must meet, which are the recovery of the product</w:t>
      </w:r>
      <w:r>
        <w:t xml:space="preserve"> </w:t>
      </w:r>
      <w:r>
        <w:t xml:space="preserve">and the delivery of a clarified harvest fit for capture.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6" w:name="tbl-par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7: Proven acceptable ranges for the harvest and clarification parameters. The proven acceptable range is the univariately characterized range in each case.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400"/>
              <w:gridCol w:w="640"/>
              <w:gridCol w:w="1040"/>
              <w:gridCol w:w="960"/>
              <w:gridCol w:w="2160"/>
              <w:gridCol w:w="7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Unit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Set-point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Proven acceptable range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Class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Centrifugation (rcf)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9e+03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8000–10000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6000–12000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KPP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Depth filter load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L/m2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100–140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80–160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KPP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Post-clarification turbidity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NTU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1–10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1–20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GPP</w:t>
                  </w:r>
                </w:p>
              </w:tc>
            </w:tr>
          </w:tbl>
          <w:bookmarkEnd w:id="46"/>
          <w:p/>
        </w:tc>
      </w:tr>
    </w:tbl>
    <w:p>
      <w:pPr>
        <w:pStyle w:val="BodyText"/>
      </w:pPr>
      <w:r>
        <w:t xml:space="preserve">Centrifugation is proven acceptable over 6000–12000 g and depth-filter loading over</w:t>
      </w:r>
      <w:r>
        <w:t xml:space="preserve"> </w:t>
      </w:r>
      <w:r>
        <w:t xml:space="preserve">80–160 L/m</w:t>
      </w:r>
      <w:r>
        <w:rPr>
          <w:vertAlign w:val="superscript"/>
        </w:rPr>
        <w:t xml:space="preserve">2</w:t>
      </w:r>
      <w:r>
        <w:t xml:space="preserve">, and the normal operating ranges of 8000–10000 g and</w:t>
      </w:r>
      <w:r>
        <w:t xml:space="preserve"> </w:t>
      </w:r>
      <w:r>
        <w:t xml:space="preserve">100–140 L/m</w:t>
      </w:r>
      <w:r>
        <w:rPr>
          <w:vertAlign w:val="superscript"/>
        </w:rPr>
        <w:t xml:space="preserve">2</w:t>
      </w:r>
      <w:r>
        <w:t xml:space="preserve"> </w:t>
      </w:r>
      <w:r>
        <w:t xml:space="preserve">sit inside those ranges with margin at both edges. Turbidity is proven</w:t>
      </w:r>
      <w:r>
        <w:t xml:space="preserve"> </w:t>
      </w:r>
      <w:r>
        <w:t xml:space="preserve">over 1–20 NTU in the sense that clarified harvest across that range was acceptable</w:t>
      </w:r>
      <w:r>
        <w:t xml:space="preserve"> </w:t>
      </w:r>
      <w:r>
        <w:t xml:space="preserve">to capture, but it is controlled to 1–10 NTU because the upper part of the wider</w:t>
      </w:r>
      <w:r>
        <w:t xml:space="preserve"> </w:t>
      </w:r>
      <w:r>
        <w:t xml:space="preserve">range is only reached when filter capacity is nearly exhausted. The worst case that the</w:t>
      </w:r>
      <w:r>
        <w:t xml:space="preserve"> </w:t>
      </w:r>
      <w:r>
        <w:t xml:space="preserve">ranges must satisfy is therefore the high-loading corner, where filter capacity is most</w:t>
      </w:r>
      <w:r>
        <w:t xml:space="preserve"> </w:t>
      </w:r>
      <w:r>
        <w:t xml:space="preserve">nearly consumed and turbidity is highest.</w:t>
      </w:r>
    </w:p>
    <w:p>
      <w:pPr>
        <w:pStyle w:val="BodyText"/>
      </w:pPr>
      <w:r>
        <w:t xml:space="preserve">These are univariate ranges and not a multivariate region. They were established with the</w:t>
      </w:r>
      <w:r>
        <w:t xml:space="preserve"> </w:t>
      </w:r>
      <w:r>
        <w:t xml:space="preserve">other parameters at their set-points, so they carry the limitation set out in §4.2.</w:t>
      </w:r>
      <w:r>
        <w:t xml:space="preserve"> </w:t>
      </w:r>
      <w:r>
        <w:t xml:space="preserve">They are bounded by the scale-down model, by the ranges studied, and by the culture</w:t>
      </w:r>
      <w:r>
        <w:t xml:space="preserve"> </w:t>
      </w:r>
      <w:r>
        <w:t xml:space="preserve">condition from which the harvest material came.</w:t>
      </w:r>
    </w:p>
    <w:bookmarkEnd w:id="47"/>
    <w:bookmarkStart w:id="49" w:name="process-capability-and-robustness"/>
    <w:p>
      <w:pPr>
        <w:pStyle w:val="Heading1"/>
      </w:pPr>
      <w:r>
        <w:t xml:space="preserve">8. Process capability and robustness</w:t>
      </w:r>
    </w:p>
    <w:p>
      <w:pPr>
        <w:pStyle w:val="FirstParagraph"/>
      </w:pPr>
      <w:r>
        <w:t xml:space="preserve">The step has no process capability of its own to report, because it governs no quality</w:t>
      </w:r>
      <w:r>
        <w:t xml:space="preserve"> </w:t>
      </w:r>
      <w:r>
        <w:t xml:space="preserve">attribute and therefore has no acceptance limit to be capable against. The capability that</w:t>
      </w:r>
      <w:r>
        <w:t xml:space="preserve"> </w:t>
      </w:r>
      <w:r>
        <w:t xml:space="preserve">its output eventually supports is given in</w:t>
      </w:r>
      <w:r>
        <w:t xml:space="preserve"> </w:t>
      </w:r>
      <w:hyperlink w:anchor="tbl-cap">
        <w:r>
          <w:rPr>
            <w:rStyle w:val="Hyperlink"/>
          </w:rPr>
          <w:t xml:space="preserve">Table 8</w:t>
        </w:r>
      </w:hyperlink>
      <w:r>
        <w:t xml:space="preserve"> </w:t>
      </w:r>
      <w:r>
        <w:t xml:space="preserve">for the two impurities it hands forward,</w:t>
      </w:r>
      <w:r>
        <w:t xml:space="preserve"> </w:t>
      </w:r>
      <w:r>
        <w:t xml:space="preserve">and both figures are commercial-scale results from the Monte-Carlo simulation of</w:t>
      </w:r>
      <w:r>
        <w:t xml:space="preserve"> </w:t>
      </w:r>
      <w:r>
        <w:t xml:space="preserve">2,000 batches that belongs to the purification train.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8" w:name="tbl-cap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8: Commercial-scale capability for the impurities carried forward by this step. The clearance credit belongs to PCR-005, PCR-007 and PCR-008.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571"/>
              <w:gridCol w:w="925"/>
              <w:gridCol w:w="822"/>
              <w:gridCol w:w="1440"/>
              <w:gridCol w:w="1337"/>
              <w:gridCol w:w="822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CQA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Crit.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Spec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Acceptance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Mean ± SD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Cpk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Host Cell Protein (HCP)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M-H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upper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0–100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15.2 ± 4.6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6.143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Residual DNA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upper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0–0.001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0.0001 ± 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10.81</w:t>
                  </w:r>
                </w:p>
              </w:tc>
            </w:tr>
          </w:tbl>
          <w:bookmarkEnd w:id="48"/>
          <w:p/>
        </w:tc>
      </w:tr>
    </w:tbl>
    <w:p>
      <w:pPr>
        <w:pStyle w:val="BodyText"/>
      </w:pPr>
      <w:r>
        <w:t xml:space="preserve">Host cell protein reaches a mean of 15.2 ng/mg against a limit of</w:t>
      </w:r>
      <w:r>
        <w:t xml:space="preserve"> </w:t>
      </w:r>
      <w:r>
        <w:t xml:space="preserve">100 ng/mg, a capability of 6.14, and</w:t>
      </w:r>
      <w:r>
        <w:t xml:space="preserve"> </w:t>
      </w:r>
      <w:r>
        <w:t xml:space="preserve">residual DNA is capable by a wider margin at 10.81. Neither margin</w:t>
      </w:r>
      <w:r>
        <w:t xml:space="preserve"> </w:t>
      </w:r>
      <w:r>
        <w:t xml:space="preserve">is earned here, and this report claims none of it. What this step contributes is a feed of</w:t>
      </w:r>
      <w:r>
        <w:t xml:space="preserve"> </w:t>
      </w:r>
      <w:r>
        <w:t xml:space="preserve">consistent solids content and consistent impurity burden (turbidity and HCP), which is the</w:t>
      </w:r>
      <w:r>
        <w:t xml:space="preserve"> </w:t>
      </w:r>
      <w:r>
        <w:t xml:space="preserve">condition under which the capture step performs as characterized in PCR-005.</w:t>
      </w:r>
    </w:p>
    <w:p>
      <w:pPr>
        <w:pStyle w:val="BodyText"/>
      </w:pPr>
      <w:r>
        <w:t xml:space="preserve">The robustness of the step is expressed in its own terms. Step yield varies with a</w:t>
      </w:r>
      <w:r>
        <w:t xml:space="preserve"> </w:t>
      </w:r>
      <w:r>
        <w:t xml:space="preserve">coefficient of variation of 2.0%, and clarification held within its</w:t>
      </w:r>
      <w:r>
        <w:t xml:space="preserve"> </w:t>
      </w:r>
      <w:r>
        <w:t xml:space="preserve">normal operating range on every run but one over the loading and centrifugation ranges</w:t>
      </w:r>
      <w:r>
        <w:t xml:space="preserve"> </w:t>
      </w:r>
      <w:r>
        <w:t xml:space="preserve">studied. That robustness statement is bounded by the normal operating ranges in</w:t>
      </w:r>
      <w:r>
        <w:t xml:space="preserve"> </w:t>
      </w:r>
      <w:hyperlink w:anchor="tbl-params">
        <w:r>
          <w:rPr>
            <w:rStyle w:val="Hyperlink"/>
          </w:rPr>
          <w:t xml:space="preserve">Table 6</w:t>
        </w:r>
      </w:hyperlink>
      <w:r>
        <w:t xml:space="preserve">, by the scale-down model of §3.1, and by the analytical precision given in</w:t>
      </w:r>
      <w:r>
        <w:t xml:space="preserve"> </w:t>
      </w:r>
      <w:r>
        <w:t xml:space="preserve">Appendix B.</w:t>
      </w:r>
    </w:p>
    <w:bookmarkEnd w:id="49"/>
    <w:bookmarkStart w:id="50" w:name="parameter-classification"/>
    <w:p>
      <w:pPr>
        <w:pStyle w:val="Heading1"/>
      </w:pPr>
      <w:r>
        <w:t xml:space="preserve">9. Parameter classification</w:t>
      </w:r>
    </w:p>
    <w:p>
      <w:pPr>
        <w:pStyle w:val="FirstParagraph"/>
      </w:pPr>
      <w:r>
        <w:t xml:space="preserve">Each parameter was classified under SOP-4001 from the demonstrated effects and from the risk</w:t>
      </w:r>
      <w:r>
        <w:t xml:space="preserve"> </w:t>
      </w:r>
      <w:r>
        <w:t xml:space="preserve">of operating outside its range. The classifications are given in</w:t>
      </w:r>
      <w:r>
        <w:t xml:space="preserve"> </w:t>
      </w:r>
      <w:hyperlink w:anchor="tbl-params">
        <w:r>
          <w:rPr>
            <w:rStyle w:val="Hyperlink"/>
          </w:rPr>
          <w:t xml:space="preserve">Table 6</w:t>
        </w:r>
      </w:hyperlink>
      <w:r>
        <w:t xml:space="preserve">, and the reason</w:t>
      </w:r>
      <w:r>
        <w:t xml:space="preserve"> </w:t>
      </w:r>
      <w:r>
        <w:t xml:space="preserve">for each is as follows.</w:t>
      </w:r>
    </w:p>
    <w:p>
      <w:pPr>
        <w:pStyle w:val="Compact"/>
        <w:numPr>
          <w:ilvl w:val="0"/>
          <w:numId w:val="1007"/>
        </w:numPr>
      </w:pPr>
      <w:r>
        <w:t xml:space="preserve">Centrifugation force is a key process parameter. It governs solids removal and therefore</w:t>
      </w:r>
      <w:r>
        <w:t xml:space="preserve"> </w:t>
      </w:r>
      <w:r>
        <w:t xml:space="preserve">the load presented to the depth filter, and no effect on any quality attribute was seen</w:t>
      </w:r>
      <w:r>
        <w:t xml:space="preserve"> </w:t>
      </w:r>
      <w:r>
        <w:t xml:space="preserve">across 6000–12000 g.</w:t>
      </w:r>
    </w:p>
    <w:p>
      <w:pPr>
        <w:pStyle w:val="Compact"/>
        <w:numPr>
          <w:ilvl w:val="0"/>
          <w:numId w:val="1007"/>
        </w:numPr>
      </w:pPr>
      <w:r>
        <w:t xml:space="preserve">Depth-filter loading is a key process parameter. It governs filter capacity and</w:t>
      </w:r>
      <w:r>
        <w:t xml:space="preserve"> </w:t>
      </w:r>
      <w:r>
        <w:t xml:space="preserve">post-clarification turbidity, and it is readily controlled by fixing the filter area to</w:t>
      </w:r>
      <w:r>
        <w:t xml:space="preserve"> </w:t>
      </w:r>
      <w:r>
        <w:t xml:space="preserve">the batch volume, so the risk of leaving its range is low.</w:t>
      </w:r>
    </w:p>
    <w:p>
      <w:pPr>
        <w:pStyle w:val="Compact"/>
        <w:numPr>
          <w:ilvl w:val="0"/>
          <w:numId w:val="1007"/>
        </w:numPr>
      </w:pPr>
      <w:r>
        <w:t xml:space="preserve">Post-clarification turbidity is a general process parameter. It is an outcome of the two</w:t>
      </w:r>
      <w:r>
        <w:t xml:space="preserve"> </w:t>
      </w:r>
      <w:r>
        <w:t xml:space="preserve">settings above, it has no demonstrated link to a quality attribute, and it is monitored as</w:t>
      </w:r>
      <w:r>
        <w:t xml:space="preserve"> </w:t>
      </w:r>
      <w:r>
        <w:t xml:space="preserve">the acceptance measure for the feed to capture.</w:t>
      </w:r>
    </w:p>
    <w:p>
      <w:pPr>
        <w:pStyle w:val="FirstParagraph"/>
      </w:pPr>
      <w:r>
        <w:t xml:space="preserve">The step carries no critical process parameter and no well-controlled critical process</w:t>
      </w:r>
      <w:r>
        <w:t xml:space="preserve"> </w:t>
      </w:r>
      <w:r>
        <w:t xml:space="preserve">parameter, and of the 21 quality-linked parameters in the</w:t>
      </w:r>
      <w:r>
        <w:t xml:space="preserve"> </w:t>
      </w:r>
      <w:r>
        <w:t xml:space="preserve">drug-substance control strategy none belongs to this step. The absence of an effect is not a</w:t>
      </w:r>
      <w:r>
        <w:t xml:space="preserve"> </w:t>
      </w:r>
      <w:r>
        <w:t xml:space="preserve">gap in the study, and it is the evidence, gathered over ranges two to three times the width</w:t>
      </w:r>
      <w:r>
        <w:t xml:space="preserve"> </w:t>
      </w:r>
      <w:r>
        <w:t xml:space="preserve">of the routine control ranges, that supports the classification above.</w:t>
      </w:r>
    </w:p>
    <w:bookmarkEnd w:id="50"/>
    <w:bookmarkStart w:id="51" w:name="contribution-to-the-control-strategy"/>
    <w:p>
      <w:pPr>
        <w:pStyle w:val="Heading1"/>
      </w:pPr>
      <w:r>
        <w:t xml:space="preserve">10. Contribution to the control strategy</w:t>
      </w:r>
    </w:p>
    <w:p>
      <w:pPr>
        <w:pStyle w:val="FirstParagraph"/>
      </w:pPr>
      <w:r>
        <w:t xml:space="preserve">The step contributes four elements to the control strategy of the drug substance. First,</w:t>
      </w:r>
      <w:r>
        <w:t xml:space="preserve"> </w:t>
      </w:r>
      <w:r>
        <w:t xml:space="preserve">centrifugation force and depth-filter loading are held within the normal operating ranges of</w:t>
      </w:r>
      <w:r>
        <w:t xml:space="preserve"> </w:t>
      </w:r>
      <w:hyperlink w:anchor="tbl-params">
        <w:r>
          <w:rPr>
            <w:rStyle w:val="Hyperlink"/>
          </w:rPr>
          <w:t xml:space="preserve">Table 6</w:t>
        </w:r>
      </w:hyperlink>
      <w:r>
        <w:t xml:space="preserve">, which assures recovery and clarification. Second, post-clarification turbidity</w:t>
      </w:r>
      <w:r>
        <w:t xml:space="preserve"> </w:t>
      </w:r>
      <w:r>
        <w:t xml:space="preserve">is monitored in-process on every batch (AMV-3015), with the upper limit of its normal</w:t>
      </w:r>
      <w:r>
        <w:t xml:space="preserve"> </w:t>
      </w:r>
      <w:r>
        <w:t xml:space="preserve">operating range as the alert level and the upper edge of the characterized range as the action level. Third,</w:t>
      </w:r>
      <w:r>
        <w:t xml:space="preserve"> </w:t>
      </w:r>
      <w:r>
        <w:t xml:space="preserve">depth filter media are flushed and integrity-tested before use under SOP-2006, with the</w:t>
      </w:r>
      <w:r>
        <w:t xml:space="preserve"> </w:t>
      </w:r>
      <w:r>
        <w:t xml:space="preserve">flush volume set by the deviation described in §13.1. Fourth, the clarified harvest is</w:t>
      </w:r>
      <w:r>
        <w:t xml:space="preserve"> </w:t>
      </w:r>
      <w:r>
        <w:t xml:space="preserve">accepted for capture against turbidity, which is the feed-consistency link to PCR-005.</w:t>
      </w:r>
    </w:p>
    <w:p>
      <w:pPr>
        <w:pStyle w:val="BodyText"/>
      </w:pPr>
      <w:r>
        <w:t xml:space="preserve">Three things the step does not do should be equally clear. It clears no host cell protein</w:t>
      </w:r>
      <w:r>
        <w:t xml:space="preserve"> </w:t>
      </w:r>
      <w:r>
        <w:t xml:space="preserve">and no DNA, so no clearance credit is taken for it anywhere in the package. It takes no viral-clearance credit, and the cumulative claim rests on PCR-006,</w:t>
      </w:r>
      <w:r>
        <w:t xml:space="preserve"> </w:t>
      </w:r>
      <w:r>
        <w:t xml:space="preserve">PCR-008 and PCR-009. It forms no quality attribute, so it imposes no constraint on the</w:t>
      </w:r>
      <w:r>
        <w:t xml:space="preserve"> </w:t>
      </w:r>
      <w:r>
        <w:t xml:space="preserve">design space of the drug substance. The contributions above roll up into the overall control</w:t>
      </w:r>
      <w:r>
        <w:t xml:space="preserve"> </w:t>
      </w:r>
      <w:r>
        <w:t xml:space="preserve">strategy in PCMR-001.</w:t>
      </w:r>
    </w:p>
    <w:bookmarkEnd w:id="51"/>
    <w:bookmarkStart w:id="52" w:name="discussion"/>
    <w:p>
      <w:pPr>
        <w:pStyle w:val="Heading1"/>
      </w:pPr>
      <w:r>
        <w:t xml:space="preserve">11. Discussion</w:t>
      </w:r>
    </w:p>
    <w:p>
      <w:pPr>
        <w:pStyle w:val="FirstParagraph"/>
      </w:pPr>
      <w:r>
        <w:t xml:space="preserve">The step is well understood, and the understanding is simpler than that of any other step in</w:t>
      </w:r>
      <w:r>
        <w:t xml:space="preserve"> </w:t>
      </w:r>
      <w:r>
        <w:t xml:space="preserve">the train. Its parameters act on solids and on recovery. They do not act on the antibody,</w:t>
      </w:r>
      <w:r>
        <w:t xml:space="preserve"> </w:t>
      </w:r>
      <w:r>
        <w:t xml:space="preserve">and the study found nothing that qualifies that statement over ranges two to three times the</w:t>
      </w:r>
      <w:r>
        <w:t xml:space="preserve"> </w:t>
      </w:r>
      <w:r>
        <w:t xml:space="preserve">width of the routine control ranges. The practical consequence is that the control strategy</w:t>
      </w:r>
      <w:r>
        <w:t xml:space="preserve"> </w:t>
      </w:r>
      <w:r>
        <w:t xml:space="preserve">for this step is a process-performance control strategy, and no parameter of it needs the</w:t>
      </w:r>
      <w:r>
        <w:t xml:space="preserve"> </w:t>
      </w:r>
      <w:r>
        <w:t xml:space="preserve">control that a critical process parameter would require.</w:t>
      </w:r>
    </w:p>
    <w:p>
      <w:pPr>
        <w:pStyle w:val="BodyText"/>
      </w:pPr>
      <w:r>
        <w:t xml:space="preserve">The scale-down model is fit for the claims made from it. It reproduces the sedimentation</w:t>
      </w:r>
      <w:r>
        <w:t xml:space="preserve"> </w:t>
      </w:r>
      <w:r>
        <w:t xml:space="preserve">duty of the commercial centrifuge and the loading duty of the commercial filter train, and</w:t>
      </w:r>
      <w:r>
        <w:t xml:space="preserve"> </w:t>
      </w:r>
      <w:r>
        <w:t xml:space="preserve">qualification found no difference in yield or turbidity at the target condition. It does</w:t>
      </w:r>
      <w:r>
        <w:t xml:space="preserve"> </w:t>
      </w:r>
      <w:r>
        <w:t xml:space="preserve">not reproduce the full shear history of the commercial machine and it operates at shorter</w:t>
      </w:r>
      <w:r>
        <w:t xml:space="preserve"> </w:t>
      </w:r>
      <w:r>
        <w:t xml:space="preserve">hold times, but neither limit undermines the conclusions, because those conclusions concern</w:t>
      </w:r>
      <w:r>
        <w:t xml:space="preserve"> </w:t>
      </w:r>
      <w:r>
        <w:t xml:space="preserve">recovery and solids removal and not a shear-sensitive attribute. Both are closed at scale</w:t>
      </w:r>
      <w:r>
        <w:t xml:space="preserve"> </w:t>
      </w:r>
      <w:r>
        <w:t xml:space="preserve">during process performance qualification (PPQ).</w:t>
      </w:r>
    </w:p>
    <w:p>
      <w:pPr>
        <w:pStyle w:val="BodyText"/>
      </w:pPr>
      <w:r>
        <w:t xml:space="preserve">Two deviations were recorded, and neither changed a conclusion. The more consequential of</w:t>
      </w:r>
      <w:r>
        <w:t xml:space="preserve"> </w:t>
      </w:r>
      <w:r>
        <w:t xml:space="preserve">the two was a turbidity excursion to 12.5 NTU on a</w:t>
      </w:r>
      <w:r>
        <w:t xml:space="preserve"> </w:t>
      </w:r>
      <w:r>
        <w:t xml:space="preserve">run loaded near the top of the characterized range. It was retained because the value stayed</w:t>
      </w:r>
      <w:r>
        <w:t xml:space="preserve"> </w:t>
      </w:r>
      <w:r>
        <w:t xml:space="preserve">inside the characterized range and the root cause is the known capacity mechanism. The other</w:t>
      </w:r>
      <w:r>
        <w:t xml:space="preserve"> </w:t>
      </w:r>
      <w:r>
        <w:t xml:space="preserve">deviation was a pre-use flush turbidity above its alert level, which was resolved by</w:t>
      </w:r>
      <w:r>
        <w:t xml:space="preserve"> </w:t>
      </w:r>
      <w:r>
        <w:t xml:space="preserve">extending the flush before the filter was used. The details of both are in §13.</w:t>
      </w:r>
    </w:p>
    <w:p>
      <w:pPr>
        <w:pStyle w:val="BodyText"/>
      </w:pPr>
      <w:r>
        <w:t xml:space="preserve">Three limitations should be carried forward. The univariate design cannot resolve an</w:t>
      </w:r>
      <w:r>
        <w:t xml:space="preserve"> </w:t>
      </w:r>
      <w:r>
        <w:t xml:space="preserve">interaction between centrifugation and filter loading, which is accepted because neither</w:t>
      </w:r>
      <w:r>
        <w:t xml:space="preserve"> </w:t>
      </w:r>
      <w:r>
        <w:t xml:space="preserve">acts on quality (§4.2). The characterization used harvest material from a</w:t>
      </w:r>
      <w:r>
        <w:t xml:space="preserve"> </w:t>
      </w:r>
      <w:r>
        <w:t xml:space="preserve">single culture condition, so a change to the culture that materially altered the solids load</w:t>
      </w:r>
      <w:r>
        <w:t xml:space="preserve"> </w:t>
      </w:r>
      <w:r>
        <w:t xml:space="preserve">would warrant a reassessment of filter capacity. Turbidity is an indirect measure of solids,</w:t>
      </w:r>
      <w:r>
        <w:t xml:space="preserve"> </w:t>
      </w:r>
      <w:r>
        <w:t xml:space="preserve">and it does not distinguish a small quantity of large particles from a large quantity of</w:t>
      </w:r>
      <w:r>
        <w:t xml:space="preserve"> </w:t>
      </w:r>
      <w:r>
        <w:t xml:space="preserve">fine ones.</w:t>
      </w:r>
    </w:p>
    <w:bookmarkEnd w:id="52"/>
    <w:bookmarkStart w:id="53" w:name="conclusions"/>
    <w:p>
      <w:pPr>
        <w:pStyle w:val="Heading1"/>
      </w:pPr>
      <w:r>
        <w:t xml:space="preserve">12. Conclusions</w:t>
      </w:r>
    </w:p>
    <w:p>
      <w:pPr>
        <w:pStyle w:val="FirstParagraph"/>
      </w:pPr>
      <w:r>
        <w:t xml:space="preserve">Harvest and clarification is characterized and ready for Stage 2. The step forms no critical</w:t>
      </w:r>
      <w:r>
        <w:t xml:space="preserve"> </w:t>
      </w:r>
      <w:r>
        <w:t xml:space="preserve">quality attribute and changes none, and its parameters were shown to have no effect on</w:t>
      </w:r>
      <w:r>
        <w:t xml:space="preserve"> </w:t>
      </w:r>
      <w:r>
        <w:t xml:space="preserve">product quality over ranges two to three times the width of the routine control ranges. It</w:t>
      </w:r>
      <w:r>
        <w:t xml:space="preserve"> </w:t>
      </w:r>
      <w:r>
        <w:t xml:space="preserve">recovers 97.7% of the product presented to it and delivers a clarified</w:t>
      </w:r>
      <w:r>
        <w:t xml:space="preserve"> </w:t>
      </w:r>
      <w:r>
        <w:t xml:space="preserve">harvest at 5 NTU at the set-point condition.</w:t>
      </w:r>
    </w:p>
    <w:p>
      <w:pPr>
        <w:pStyle w:val="BodyText"/>
      </w:pPr>
      <w:r>
        <w:t xml:space="preserve">Centrifugation force and depth-filter loading are key process parameters and</w:t>
      </w:r>
      <w:r>
        <w:t xml:space="preserve"> </w:t>
      </w:r>
      <w:r>
        <w:t xml:space="preserve">post-clarification turbidity is a general process parameter, so the step carries no critical</w:t>
      </w:r>
      <w:r>
        <w:t xml:space="preserve"> </w:t>
      </w:r>
      <w:r>
        <w:t xml:space="preserve">process parameter and it contributes no design space. The proven acceptable ranges of §7 are</w:t>
      </w:r>
      <w:r>
        <w:t xml:space="preserve"> </w:t>
      </w:r>
      <w:r>
        <w:t xml:space="preserve">the characterized ranges, and they are bounded by the scale-down model and by the single</w:t>
      </w:r>
      <w:r>
        <w:t xml:space="preserve"> </w:t>
      </w:r>
      <w:r>
        <w:t xml:space="preserve">culture condition studied. The impurity burden the step hands forward is cleared downstream,</w:t>
      </w:r>
      <w:r>
        <w:t xml:space="preserve"> </w:t>
      </w:r>
      <w:r>
        <w:t xml:space="preserve">where host cell protein reaches a capability of 6.14 against its</w:t>
      </w:r>
      <w:r>
        <w:t xml:space="preserve"> </w:t>
      </w:r>
      <w:r>
        <w:t xml:space="preserve">limit. Two deviations were recorded, and both were retained without effect on the</w:t>
      </w:r>
      <w:r>
        <w:t xml:space="preserve"> </w:t>
      </w:r>
      <w:r>
        <w:t xml:space="preserve">classifications or the ranges. The outcome rolls up into PCMR-001.</w:t>
      </w:r>
    </w:p>
    <w:bookmarkEnd w:id="53"/>
    <w:bookmarkStart w:id="57" w:name="sec-deviations"/>
    <w:p>
      <w:pPr>
        <w:pStyle w:val="Heading1"/>
      </w:pPr>
      <w:r>
        <w:t xml:space="preserve">13. Deviations from the plan</w:t>
      </w:r>
    </w:p>
    <w:p>
      <w:pPr>
        <w:pStyle w:val="FirstParagraph"/>
      </w:pPr>
      <w:r>
        <w:t xml:space="preserve">2 deviations from PCP-004 were recorded during execution, and each was</w:t>
      </w:r>
      <w:r>
        <w:t xml:space="preserve"> </w:t>
      </w:r>
      <w:r>
        <w:t xml:space="preserve">investigated, root-caused and impact-assessed before the study was closed. Neither altered a</w:t>
      </w:r>
      <w:r>
        <w:t xml:space="preserve"> </w:t>
      </w:r>
      <w:r>
        <w:t xml:space="preserve">parameter classification, a characterized range or a conclusion of this report. The register</w:t>
      </w:r>
      <w:r>
        <w:t xml:space="preserve"> </w:t>
      </w:r>
      <w:r>
        <w:t xml:space="preserve">is given in</w:t>
      </w:r>
      <w:r>
        <w:t xml:space="preserve"> </w:t>
      </w:r>
      <w:hyperlink w:anchor="tbl-dev">
        <w:r>
          <w:rPr>
            <w:rStyle w:val="Hyperlink"/>
          </w:rPr>
          <w:t xml:space="preserve">Table 9</w:t>
        </w:r>
      </w:hyperlink>
      <w:r>
        <w:t xml:space="preserve">, and each deviation is described below.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4" w:name="tbl-dev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9: Register of deviations recorded during execution of PCP-004.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843"/>
              <w:gridCol w:w="3960"/>
              <w:gridCol w:w="2142"/>
              <w:gridCol w:w="973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Deviation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Summary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Detected during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Disposition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DEV-004-01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Depth-filter lot pre-use flush turbidity above alert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pre-use filter flush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retained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DEV-004-02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Post-clarification turbidity excursion above NOR on one run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in-process turbidity monitoring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retained</w:t>
                  </w:r>
                </w:p>
              </w:tc>
            </w:tr>
          </w:tbl>
          <w:bookmarkEnd w:id="54"/>
          <w:p/>
        </w:tc>
      </w:tr>
    </w:tbl>
    <w:bookmarkStart w:id="55" w:name="X578274dfea6531c796bdc1761178501b1287c14"/>
    <w:p>
      <w:pPr>
        <w:pStyle w:val="Heading2"/>
      </w:pPr>
      <w:r>
        <w:t xml:space="preserve">13.1 DEV-004-01 — pre-use flush turbidity above alert</w:t>
      </w:r>
    </w:p>
    <w:p>
      <w:pPr>
        <w:pStyle w:val="FirstParagraph"/>
      </w:pPr>
      <w:r>
        <w:t xml:space="preserve">The pre-use flush of a depth filter lot gave a turbidity of</w:t>
      </w:r>
      <w:r>
        <w:t xml:space="preserve"> </w:t>
      </w:r>
      <w:r>
        <w:t xml:space="preserve">6 NTU (AMV-3015), above the alert level</w:t>
      </w:r>
      <w:r>
        <w:t xml:space="preserve"> </w:t>
      </w:r>
      <w:r>
        <w:t xml:space="preserve">applied to flush water, and the lot was LOT-DF-4408, allocated to</w:t>
      </w:r>
      <w:r>
        <w:t xml:space="preserve"> </w:t>
      </w:r>
      <w:r>
        <w:t xml:space="preserve">clarification run 3. A filter</w:t>
      </w:r>
      <w:r>
        <w:t xml:space="preserve"> </w:t>
      </w:r>
      <w:r>
        <w:t xml:space="preserve">that sheds media fines into the flush could carry those fines into the clarified harvest,</w:t>
      </w:r>
      <w:r>
        <w:t xml:space="preserve"> </w:t>
      </w:r>
      <w:r>
        <w:t xml:space="preserve">which is why the alert exists.</w:t>
      </w:r>
    </w:p>
    <w:p>
      <w:pPr>
        <w:pStyle w:val="BodyText"/>
      </w:pPr>
      <w:r>
        <w:t xml:space="preserve">The investigation compared the flush record with the volume specified in SOP-2006 and found</w:t>
      </w:r>
      <w:r>
        <w:t xml:space="preserve"> </w:t>
      </w:r>
      <w:r>
        <w:t xml:space="preserve">that the initial flush volume applied was below it, and extending the flush brought the</w:t>
      </w:r>
      <w:r>
        <w:t xml:space="preserve"> </w:t>
      </w:r>
      <w:r>
        <w:t xml:space="preserve">turbidity down, so that the filter was used only after the flush met its specification. The</w:t>
      </w:r>
      <w:r>
        <w:t xml:space="preserve"> </w:t>
      </w:r>
      <w:r>
        <w:t xml:space="preserve">root cause is an insufficient initial flush volume and not a defect in the media, and the</w:t>
      </w:r>
      <w:r>
        <w:t xml:space="preserve"> </w:t>
      </w:r>
      <w:r>
        <w:t xml:space="preserve">lot was released for use and the run was retained. The flush volume specified in SOP-2006</w:t>
      </w:r>
      <w:r>
        <w:t xml:space="preserve"> </w:t>
      </w:r>
      <w:r>
        <w:t xml:space="preserve">has been made an explicit step of the batch record, which is the control now carried into</w:t>
      </w:r>
      <w:r>
        <w:t xml:space="preserve"> </w:t>
      </w:r>
      <w:r>
        <w:t xml:space="preserve">the control strategy (§10).</w:t>
      </w:r>
    </w:p>
    <w:bookmarkEnd w:id="55"/>
    <w:bookmarkStart w:id="56" w:name="X1f996e96af6ec95e09488a3517a7641e5664b6d"/>
    <w:p>
      <w:pPr>
        <w:pStyle w:val="Heading2"/>
      </w:pPr>
      <w:r>
        <w:t xml:space="preserve">13.2 DEV-004-02 — post-clarification turbidity excursion</w:t>
      </w:r>
    </w:p>
    <w:p>
      <w:pPr>
        <w:pStyle w:val="FirstParagraph"/>
      </w:pPr>
      <w:r>
        <w:t xml:space="preserve">Post-clarification turbidity on one run reached</w:t>
      </w:r>
      <w:r>
        <w:t xml:space="preserve"> </w:t>
      </w:r>
      <w:r>
        <w:t xml:space="preserve">12.5 NTU, which is</w:t>
      </w:r>
      <w:r>
        <w:t xml:space="preserve"> </w:t>
      </w:r>
      <w:r>
        <w:t xml:space="preserve">2.5 NTU above the upper limit of the normal operating range</w:t>
      </w:r>
      <w:r>
        <w:t xml:space="preserve"> </w:t>
      </w:r>
      <w:r>
        <w:t xml:space="preserve">of 1–10 NTU. The excursion was detected by in-process turbidity monitoring under</w:t>
      </w:r>
      <w:r>
        <w:t xml:space="preserve"> </w:t>
      </w:r>
      <w:r>
        <w:t xml:space="preserve">AMV-3015 during the run, and the clarified harvest of that run was quarantined pending</w:t>
      </w:r>
      <w:r>
        <w:t xml:space="preserve"> </w:t>
      </w:r>
      <w:r>
        <w:t xml:space="preserve">assessment.</w:t>
      </w:r>
    </w:p>
    <w:p>
      <w:pPr>
        <w:pStyle w:val="BodyText"/>
      </w:pPr>
      <w:r>
        <w:t xml:space="preserve">The investigation established that the run was loaded to near the maximum of the</w:t>
      </w:r>
      <w:r>
        <w:t xml:space="preserve"> </w:t>
      </w:r>
      <w:r>
        <w:t xml:space="preserve">characterized depth-filter range, at which capacity is nearly consumed, and that is the</w:t>
      </w:r>
      <w:r>
        <w:t xml:space="preserve"> </w:t>
      </w:r>
      <w:r>
        <w:t xml:space="preserve">capacity mechanism described in §2.1, with the excursion its expected consequence at the</w:t>
      </w:r>
      <w:r>
        <w:t xml:space="preserve"> </w:t>
      </w:r>
      <w:r>
        <w:t xml:space="preserve">edge of the range. The value stayed inside the characterized turbidity range of</w:t>
      </w:r>
      <w:r>
        <w:t xml:space="preserve"> </w:t>
      </w:r>
      <w:r>
        <w:t xml:space="preserve">1–20 NTU, and it is well outside the 4 % precision of the</w:t>
      </w:r>
      <w:r>
        <w:t xml:space="preserve"> </w:t>
      </w:r>
      <w:r>
        <w:t xml:space="preserve">method, so it is a real effect and not assay noise. Product quality on that run was within</w:t>
      </w:r>
      <w:r>
        <w:t xml:space="preserve"> </w:t>
      </w:r>
      <w:r>
        <w:t xml:space="preserve">the same variability as the rest of the study.</w:t>
      </w:r>
    </w:p>
    <w:p>
      <w:pPr>
        <w:pStyle w:val="BodyText"/>
      </w:pPr>
      <w:r>
        <w:t xml:space="preserve">The run was retained and its data were used, and the disposition rests on two findings. The</w:t>
      </w:r>
      <w:r>
        <w:t xml:space="preserve"> </w:t>
      </w:r>
      <w:r>
        <w:t xml:space="preserve">excursion occurred outside the normal operating range of depth-filter loading, so it does</w:t>
      </w:r>
      <w:r>
        <w:t xml:space="preserve"> </w:t>
      </w:r>
      <w:r>
        <w:t xml:space="preserve">not describe routine operation, and the material remained acceptable for capture. The</w:t>
      </w:r>
      <w:r>
        <w:t xml:space="preserve"> </w:t>
      </w:r>
      <w:r>
        <w:t xml:space="preserve">control that follows is the upper limit of 140 L/m</w:t>
      </w:r>
      <w:r>
        <w:rPr>
          <w:vertAlign w:val="superscript"/>
        </w:rPr>
        <w:t xml:space="preserve">2</w:t>
      </w:r>
      <w:r>
        <w:t xml:space="preserve"> </w:t>
      </w:r>
      <w:r>
        <w:t xml:space="preserve">on loading, which is</w:t>
      </w:r>
      <w:r>
        <w:t xml:space="preserve"> </w:t>
      </w:r>
      <w:r>
        <w:t xml:space="preserve">already the normal operating limit and is now supported by direct evidence of what happens</w:t>
      </w:r>
      <w:r>
        <w:t xml:space="preserve"> </w:t>
      </w:r>
      <w:r>
        <w:t xml:space="preserve">above it.</w:t>
      </w:r>
    </w:p>
    <w:bookmarkEnd w:id="56"/>
    <w:bookmarkEnd w:id="57"/>
    <w:bookmarkStart w:id="62" w:name="appendices"/>
    <w:p>
      <w:pPr>
        <w:pStyle w:val="Heading1"/>
      </w:pPr>
      <w:r>
        <w:t xml:space="preserve">Appendices</w:t>
      </w:r>
    </w:p>
    <w:bookmarkStart w:id="59" w:name="Xa7d406966ea2be10e68491a98b4aa27c014ce5d"/>
    <w:p>
      <w:pPr>
        <w:pStyle w:val="Heading2"/>
      </w:pPr>
      <w:r>
        <w:t xml:space="preserve">Appendix A — Product yield across the train</w:t>
      </w:r>
    </w:p>
    <w:p>
      <w:pPr>
        <w:pStyle w:val="FirstParagraph"/>
      </w:pPr>
      <w:r>
        <w:t xml:space="preserve">The step yield of harvest and clarification in the context of the whole drug-substance</w:t>
      </w:r>
      <w:r>
        <w:t xml:space="preserve"> </w:t>
      </w:r>
      <w:r>
        <w:t xml:space="preserve">train, from the nominal commercial-scale simulation.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8" w:name="tbl-yiel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10: Step and cumulative product yield across the drug-substance train.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711"/>
              <w:gridCol w:w="4182"/>
              <w:gridCol w:w="1245"/>
              <w:gridCol w:w="1779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Step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Unit operation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Step yield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Cumulative yield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Production Bioreactor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1.0000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Harvest / Clarification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0.9768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0.9768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Protein A Chromatography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0.9723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0.9496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Low-pH Viral Inactivation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0.9900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0.9401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Cation Exchange Chromatography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0.9524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0.8954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Anion Exchange Chromatography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0.9728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0.8710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Small Virus Retentive Filtration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0.9842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0.8573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Ultrafiltration / Diafiltration (formulation)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0.9707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0.8322</w:t>
                  </w:r>
                </w:p>
              </w:tc>
            </w:tr>
          </w:tbl>
          <w:bookmarkEnd w:id="58"/>
          <w:p/>
        </w:tc>
      </w:tr>
    </w:tbl>
    <w:bookmarkEnd w:id="59"/>
    <w:bookmarkStart w:id="61" w:name="appendix-b-analytical-methods-summary"/>
    <w:p>
      <w:pPr>
        <w:pStyle w:val="Heading2"/>
      </w:pPr>
      <w:r>
        <w:t xml:space="preserve">Appendix B — Analytical methods summary</w:t>
      </w:r>
    </w:p>
    <w:p>
      <w:pPr>
        <w:pStyle w:val="FirstParagraph"/>
      </w:pPr>
      <w:r>
        <w:t xml:space="preserve">Performance of the validated methods applied at this step. Precision is the reported</w:t>
      </w:r>
      <w:r>
        <w:t xml:space="preserve"> </w:t>
      </w:r>
      <w:r>
        <w:t xml:space="preserve">repeatability of the method and the limit of quantitation is given in the reportable unit.</w:t>
      </w:r>
      <w:r>
        <w:t xml:space="preserve"> </w:t>
      </w:r>
      <w:r>
        <w:t xml:space="preserve">Entries marked as not recorded are methods whose performance summary is held in the method</w:t>
      </w:r>
      <w:r>
        <w:t xml:space="preserve"> </w:t>
      </w:r>
      <w:r>
        <w:t xml:space="preserve">validation itself.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tbl-amv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11: Validated analytical methods applied to the harvest and clarification step.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131"/>
              <w:gridCol w:w="2872"/>
              <w:gridCol w:w="1479"/>
              <w:gridCol w:w="1218"/>
              <w:gridCol w:w="1218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Reference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Method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Precision (%)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LOQ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LOQ unit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AMV-3015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Turbidity by Nephelometry (NTU)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NTU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AMV-3012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Host-Cell Protein ELISA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9.5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ng/mg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AMV-3014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Residual DNA (qPCR)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not recorded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not recorded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not recorded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AMV-3011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Size-Variants (SEC-HPLC)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not recorded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not recorded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not recorded</w:t>
                  </w:r>
                </w:p>
              </w:tc>
            </w:tr>
          </w:tbl>
          <w:bookmarkEnd w:id="60"/>
          <w:p/>
        </w:tc>
      </w:tr>
    </w:tbl>
    <w:bookmarkEnd w:id="61"/>
    <w:bookmarkEnd w:id="62"/>
    <w:bookmarkStart w:id="71" w:name="references"/>
    <w:p>
      <w:pPr>
        <w:pStyle w:val="Heading1"/>
      </w:pPr>
      <w:r>
        <w:t xml:space="preserve">References</w:t>
      </w:r>
    </w:p>
    <w:bookmarkStart w:id="70" w:name="refs"/>
    <w:bookmarkStart w:id="63" w:name="ref-amab2009"/>
    <w:p>
      <w:pPr>
        <w:pStyle w:val="Bibliography"/>
      </w:pPr>
      <w:r>
        <w:t xml:space="preserve">CMC Biotech Working Group. 2009.</w:t>
      </w:r>
      <w:r>
        <w:t xml:space="preserve"> </w:t>
      </w:r>
      <w:r>
        <w:rPr>
          <w:i/>
          <w:iCs/>
        </w:rPr>
        <w:t xml:space="preserve">A-Mab: A Case Study in Bioprocess Development</w:t>
      </w:r>
      <w:r>
        <w:t xml:space="preserve">. CASSS.</w:t>
      </w:r>
    </w:p>
    <w:bookmarkEnd w:id="63"/>
    <w:bookmarkStart w:id="64" w:name="ref-ichq10"/>
    <w:p>
      <w:pPr>
        <w:pStyle w:val="Bibliography"/>
      </w:pPr>
      <w:r>
        <w:t xml:space="preserve">International Council for Harmonisation. 2008.</w:t>
      </w:r>
      <w:r>
        <w:t xml:space="preserve"> </w:t>
      </w:r>
      <w:r>
        <w:rPr>
          <w:i/>
          <w:iCs/>
        </w:rPr>
        <w:t xml:space="preserve">ICH Q10: Pharmaceutical Quality System</w:t>
      </w:r>
      <w:r>
        <w:t xml:space="preserve">. ICH.</w:t>
      </w:r>
    </w:p>
    <w:bookmarkEnd w:id="64"/>
    <w:bookmarkStart w:id="65" w:name="ref-ichq8"/>
    <w:p>
      <w:pPr>
        <w:pStyle w:val="Bibliography"/>
      </w:pPr>
      <w:r>
        <w:t xml:space="preserve">International Council for Harmonisation. 2009.</w:t>
      </w:r>
      <w:r>
        <w:t xml:space="preserve"> </w:t>
      </w:r>
      <w:r>
        <w:rPr>
          <w:i/>
          <w:iCs/>
        </w:rPr>
        <w:t xml:space="preserve">ICH Q8(R2): Pharmaceutical Development</w:t>
      </w:r>
      <w:r>
        <w:t xml:space="preserve">. ICH.</w:t>
      </w:r>
    </w:p>
    <w:bookmarkEnd w:id="65"/>
    <w:bookmarkStart w:id="66" w:name="ref-ichq11"/>
    <w:p>
      <w:pPr>
        <w:pStyle w:val="Bibliography"/>
      </w:pPr>
      <w:r>
        <w:t xml:space="preserve">International Council for Harmonisation. 2012.</w:t>
      </w:r>
      <w:r>
        <w:t xml:space="preserve"> </w:t>
      </w:r>
      <w:r>
        <w:rPr>
          <w:i/>
          <w:iCs/>
        </w:rPr>
        <w:t xml:space="preserve">ICH Q11: Development and Manufacture of Drug Substances</w:t>
      </w:r>
      <w:r>
        <w:t xml:space="preserve">. ICH.</w:t>
      </w:r>
    </w:p>
    <w:bookmarkEnd w:id="66"/>
    <w:bookmarkStart w:id="67" w:name="ref-ichq5a"/>
    <w:p>
      <w:pPr>
        <w:pStyle w:val="Bibliography"/>
      </w:pPr>
      <w:r>
        <w:t xml:space="preserve">International Council for Harmonisation. 2023a.</w:t>
      </w:r>
      <w:r>
        <w:t xml:space="preserve"> </w:t>
      </w:r>
      <w:r>
        <w:rPr>
          <w:i/>
          <w:iCs/>
        </w:rPr>
        <w:t xml:space="preserve">ICH Q5A(R2): Viral Safety Evaluation of Biotechnology Products Derived from Cell Lines of Human or Animal Origin</w:t>
      </w:r>
      <w:r>
        <w:t xml:space="preserve">. ICH.</w:t>
      </w:r>
    </w:p>
    <w:bookmarkEnd w:id="67"/>
    <w:bookmarkStart w:id="68" w:name="ref-ichq9"/>
    <w:p>
      <w:pPr>
        <w:pStyle w:val="Bibliography"/>
      </w:pPr>
      <w:r>
        <w:t xml:space="preserve">International Council for Harmonisation. 2023b.</w:t>
      </w:r>
      <w:r>
        <w:t xml:space="preserve"> </w:t>
      </w:r>
      <w:r>
        <w:rPr>
          <w:i/>
          <w:iCs/>
        </w:rPr>
        <w:t xml:space="preserve">ICH Q9(R1): Quality Risk Management</w:t>
      </w:r>
      <w:r>
        <w:t xml:space="preserve">. ICH.</w:t>
      </w:r>
    </w:p>
    <w:bookmarkEnd w:id="68"/>
    <w:bookmarkStart w:id="69" w:name="ref-fda2011"/>
    <w:p>
      <w:pPr>
        <w:pStyle w:val="Bibliography"/>
      </w:pPr>
      <w:r>
        <w:t xml:space="preserve">U.S. Food and Drug Administration. 2011.</w:t>
      </w:r>
      <w:r>
        <w:t xml:space="preserve"> </w:t>
      </w:r>
      <w:r>
        <w:rPr>
          <w:i/>
          <w:iCs/>
        </w:rPr>
        <w:t xml:space="preserve">Guidance for Industry: Process Validation — General Principles and Practices</w:t>
      </w:r>
      <w:r>
        <w:t xml:space="preserve">. FDA.</w:t>
      </w:r>
    </w:p>
    <w:bookmarkEnd w:id="69"/>
    <w:bookmarkEnd w:id="70"/>
    <w:bookmarkEnd w:id="7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531">
    <w:nsid w:val="00A99531"/>
    <w:multiLevelType w:val="multilevel"/>
    <w:lvl w:ilvl="0">
      <w:start w:val="1"/>
      <w:numFmt w:val="lowerRoman"/>
      <w:lvlText w:val="(%1)"/>
      <w:lvlJc w:val="left"/>
      <w:pPr>
        <w:ind w:left="720" w:hanging="360"/>
      </w:pPr>
    </w:lvl>
    <w:lvl w:ilvl="1">
      <w:start w:val="1"/>
      <w:numFmt w:val="lowerRoman"/>
      <w:lvlText w:val="(%2)"/>
      <w:lvlJc w:val="left"/>
      <w:pPr>
        <w:ind w:left="1440" w:hanging="360"/>
      </w:pPr>
    </w:lvl>
    <w:lvl w:ilvl="2">
      <w:start w:val="1"/>
      <w:numFmt w:val="lowerRoman"/>
      <w:lvlText w:val="(%3)"/>
      <w:lvlJc w:val="left"/>
      <w:pPr>
        <w:ind w:left="2160" w:hanging="360"/>
      </w:pPr>
    </w:lvl>
    <w:lvl w:ilvl="3">
      <w:start w:val="1"/>
      <w:numFmt w:val="lowerRoman"/>
      <w:lvlText w:val="(%4)"/>
      <w:lvlJc w:val="left"/>
      <w:pPr>
        <w:ind w:left="2880" w:hanging="360"/>
      </w:pPr>
    </w:lvl>
    <w:lvl w:ilvl="4">
      <w:start w:val="1"/>
      <w:numFmt w:val="lowerRoman"/>
      <w:lvlText w:val="(%5)"/>
      <w:lvlJc w:val="left"/>
      <w:pPr>
        <w:ind w:left="3600" w:hanging="360"/>
      </w:pPr>
    </w:lvl>
    <w:lvl w:ilvl="5">
      <w:start w:val="1"/>
      <w:numFmt w:val="lowerRoman"/>
      <w:lvlText w:val="(%6)"/>
      <w:lvlJc w:val="left"/>
      <w:pPr>
        <w:ind w:left="4320" w:hanging="360"/>
      </w:pPr>
    </w:lvl>
    <w:lvl w:ilvl="6">
      <w:start w:val="1"/>
      <w:numFmt w:val="lowerRoman"/>
      <w:lvlText w:val="(%7)"/>
      <w:lvlJc w:val="left"/>
      <w:pPr>
        <w:ind w:left="5040" w:hanging="360"/>
      </w:pPr>
    </w:lvl>
    <w:lvl w:ilvl="7">
      <w:start w:val="1"/>
      <w:numFmt w:val="lowerRoman"/>
      <w:lvlText w:val="(%8)"/>
      <w:lvlJc w:val="left"/>
      <w:pPr>
        <w:ind w:left="5760" w:hanging="360"/>
      </w:pPr>
    </w:lvl>
    <w:lvl w:ilvl="8">
      <w:start w:val="1"/>
      <w:numFmt w:val="lowerRoman"/>
      <w:lvlText w:val="(%9)"/>
      <w:lvlJc w:val="left"/>
      <w:pPr>
        <w:ind w:left="6480" w:hanging="360"/>
      </w:pPr>
    </w:lvl>
  </w:abstractNum>
  <w:abstractNum w:abstractNumId="99532">
    <w:nsid w:val="00A99532"/>
    <w:multiLevelType w:val="multilevel"/>
    <w:lvl w:ilvl="0">
      <w:start w:val="2"/>
      <w:numFmt w:val="lowerRoman"/>
      <w:lvlText w:val="(%1)"/>
      <w:lvlJc w:val="left"/>
      <w:pPr>
        <w:ind w:left="720" w:hanging="360"/>
      </w:pPr>
    </w:lvl>
    <w:lvl w:ilvl="1">
      <w:start w:val="2"/>
      <w:numFmt w:val="lowerRoman"/>
      <w:lvlText w:val="(%2)"/>
      <w:lvlJc w:val="left"/>
      <w:pPr>
        <w:ind w:left="1440" w:hanging="360"/>
      </w:pPr>
    </w:lvl>
    <w:lvl w:ilvl="2">
      <w:start w:val="2"/>
      <w:numFmt w:val="lowerRoman"/>
      <w:lvlText w:val="(%3)"/>
      <w:lvlJc w:val="left"/>
      <w:pPr>
        <w:ind w:left="2160" w:hanging="360"/>
      </w:pPr>
    </w:lvl>
    <w:lvl w:ilvl="3">
      <w:start w:val="2"/>
      <w:numFmt w:val="lowerRoman"/>
      <w:lvlText w:val="(%4)"/>
      <w:lvlJc w:val="left"/>
      <w:pPr>
        <w:ind w:left="2880" w:hanging="360"/>
      </w:pPr>
    </w:lvl>
    <w:lvl w:ilvl="4">
      <w:start w:val="2"/>
      <w:numFmt w:val="lowerRoman"/>
      <w:lvlText w:val="(%5)"/>
      <w:lvlJc w:val="left"/>
      <w:pPr>
        <w:ind w:left="3600" w:hanging="360"/>
      </w:pPr>
    </w:lvl>
    <w:lvl w:ilvl="5">
      <w:start w:val="2"/>
      <w:numFmt w:val="lowerRoman"/>
      <w:lvlText w:val="(%6)"/>
      <w:lvlJc w:val="left"/>
      <w:pPr>
        <w:ind w:left="4320" w:hanging="360"/>
      </w:pPr>
    </w:lvl>
    <w:lvl w:ilvl="6">
      <w:start w:val="2"/>
      <w:numFmt w:val="lowerRoman"/>
      <w:lvlText w:val="(%7)"/>
      <w:lvlJc w:val="left"/>
      <w:pPr>
        <w:ind w:left="5040" w:hanging="360"/>
      </w:pPr>
    </w:lvl>
    <w:lvl w:ilvl="7">
      <w:start w:val="2"/>
      <w:numFmt w:val="lowerRoman"/>
      <w:lvlText w:val="(%8)"/>
      <w:lvlJc w:val="left"/>
      <w:pPr>
        <w:ind w:left="5760" w:hanging="360"/>
      </w:pPr>
    </w:lvl>
    <w:lvl w:ilvl="8">
      <w:start w:val="2"/>
      <w:numFmt w:val="lowerRoman"/>
      <w:lvlText w:val="(%9)"/>
      <w:lvlJc w:val="left"/>
      <w:pPr>
        <w:ind w:left="6480" w:hanging="360"/>
      </w:pPr>
    </w:lvl>
  </w:abstractNum>
  <w:abstractNum w:abstractNumId="99533">
    <w:nsid w:val="00A99533"/>
    <w:multiLevelType w:val="multilevel"/>
    <w:lvl w:ilvl="0">
      <w:start w:val="3"/>
      <w:numFmt w:val="lowerRoman"/>
      <w:lvlText w:val="(%1)"/>
      <w:lvlJc w:val="left"/>
      <w:pPr>
        <w:ind w:left="720" w:hanging="360"/>
      </w:pPr>
    </w:lvl>
    <w:lvl w:ilvl="1">
      <w:start w:val="3"/>
      <w:numFmt w:val="lowerRoman"/>
      <w:lvlText w:val="(%2)"/>
      <w:lvlJc w:val="left"/>
      <w:pPr>
        <w:ind w:left="1440" w:hanging="360"/>
      </w:pPr>
    </w:lvl>
    <w:lvl w:ilvl="2">
      <w:start w:val="3"/>
      <w:numFmt w:val="lowerRoman"/>
      <w:lvlText w:val="(%3)"/>
      <w:lvlJc w:val="left"/>
      <w:pPr>
        <w:ind w:left="2160" w:hanging="360"/>
      </w:pPr>
    </w:lvl>
    <w:lvl w:ilvl="3">
      <w:start w:val="3"/>
      <w:numFmt w:val="lowerRoman"/>
      <w:lvlText w:val="(%4)"/>
      <w:lvlJc w:val="left"/>
      <w:pPr>
        <w:ind w:left="2880" w:hanging="360"/>
      </w:pPr>
    </w:lvl>
    <w:lvl w:ilvl="4">
      <w:start w:val="3"/>
      <w:numFmt w:val="lowerRoman"/>
      <w:lvlText w:val="(%5)"/>
      <w:lvlJc w:val="left"/>
      <w:pPr>
        <w:ind w:left="3600" w:hanging="360"/>
      </w:pPr>
    </w:lvl>
    <w:lvl w:ilvl="5">
      <w:start w:val="3"/>
      <w:numFmt w:val="lowerRoman"/>
      <w:lvlText w:val="(%6)"/>
      <w:lvlJc w:val="left"/>
      <w:pPr>
        <w:ind w:left="4320" w:hanging="360"/>
      </w:pPr>
    </w:lvl>
    <w:lvl w:ilvl="6">
      <w:start w:val="3"/>
      <w:numFmt w:val="lowerRoman"/>
      <w:lvlText w:val="(%7)"/>
      <w:lvlJc w:val="left"/>
      <w:pPr>
        <w:ind w:left="5040" w:hanging="360"/>
      </w:pPr>
    </w:lvl>
    <w:lvl w:ilvl="7">
      <w:start w:val="3"/>
      <w:numFmt w:val="lowerRoman"/>
      <w:lvlText w:val="(%8)"/>
      <w:lvlJc w:val="left"/>
      <w:pPr>
        <w:ind w:left="5760" w:hanging="360"/>
      </w:pPr>
    </w:lvl>
    <w:lvl w:ilvl="8">
      <w:start w:val="3"/>
      <w:numFmt w:val="lowerRoman"/>
      <w:lvlText w:val="(%9)"/>
      <w:lvlJc w:val="left"/>
      <w:pPr>
        <w:ind w:left="6480" w:hanging="360"/>
      </w:pPr>
    </w:lvl>
  </w:abstractNum>
  <w:abstractNum w:abstractNumId="99534">
    <w:nsid w:val="00A99534"/>
    <w:multiLevelType w:val="multilevel"/>
    <w:lvl w:ilvl="0">
      <w:start w:val="4"/>
      <w:numFmt w:val="lowerRoman"/>
      <w:lvlText w:val="(%1)"/>
      <w:lvlJc w:val="left"/>
      <w:pPr>
        <w:ind w:left="720" w:hanging="360"/>
      </w:pPr>
    </w:lvl>
    <w:lvl w:ilvl="1">
      <w:start w:val="4"/>
      <w:numFmt w:val="lowerRoman"/>
      <w:lvlText w:val="(%2)"/>
      <w:lvlJc w:val="left"/>
      <w:pPr>
        <w:ind w:left="1440" w:hanging="360"/>
      </w:pPr>
    </w:lvl>
    <w:lvl w:ilvl="2">
      <w:start w:val="4"/>
      <w:numFmt w:val="lowerRoman"/>
      <w:lvlText w:val="(%3)"/>
      <w:lvlJc w:val="left"/>
      <w:pPr>
        <w:ind w:left="2160" w:hanging="360"/>
      </w:pPr>
    </w:lvl>
    <w:lvl w:ilvl="3">
      <w:start w:val="4"/>
      <w:numFmt w:val="lowerRoman"/>
      <w:lvlText w:val="(%4)"/>
      <w:lvlJc w:val="left"/>
      <w:pPr>
        <w:ind w:left="2880" w:hanging="360"/>
      </w:pPr>
    </w:lvl>
    <w:lvl w:ilvl="4">
      <w:start w:val="4"/>
      <w:numFmt w:val="lowerRoman"/>
      <w:lvlText w:val="(%5)"/>
      <w:lvlJc w:val="left"/>
      <w:pPr>
        <w:ind w:left="3600" w:hanging="360"/>
      </w:pPr>
    </w:lvl>
    <w:lvl w:ilvl="5">
      <w:start w:val="4"/>
      <w:numFmt w:val="lowerRoman"/>
      <w:lvlText w:val="(%6)"/>
      <w:lvlJc w:val="left"/>
      <w:pPr>
        <w:ind w:left="4320" w:hanging="360"/>
      </w:pPr>
    </w:lvl>
    <w:lvl w:ilvl="6">
      <w:start w:val="4"/>
      <w:numFmt w:val="lowerRoman"/>
      <w:lvlText w:val="(%7)"/>
      <w:lvlJc w:val="left"/>
      <w:pPr>
        <w:ind w:left="5040" w:hanging="360"/>
      </w:pPr>
    </w:lvl>
    <w:lvl w:ilvl="7">
      <w:start w:val="4"/>
      <w:numFmt w:val="lowerRoman"/>
      <w:lvlText w:val="(%8)"/>
      <w:lvlJc w:val="left"/>
      <w:pPr>
        <w:ind w:left="5760" w:hanging="360"/>
      </w:pPr>
    </w:lvl>
    <w:lvl w:ilvl="8">
      <w:start w:val="4"/>
      <w:numFmt w:val="lowerRoman"/>
      <w:lvlText w:val="(%9)"/>
      <w:lvlJc w:val="left"/>
      <w:pPr>
        <w:ind w:left="6480" w:hanging="360"/>
      </w:pPr>
    </w:lvl>
  </w:abstractNum>
  <w:abstractNum w:abstractNumId="997322">
    <w:nsid w:val="0A997322"/>
    <w:multiLevelType w:val="multilevel"/>
    <w:lvl w:ilvl="0">
      <w:start w:val="22"/>
      <w:numFmt w:val="lowerLetter"/>
      <w:lvlText w:val="(%1)"/>
      <w:lvlJc w:val="left"/>
      <w:pPr>
        <w:ind w:left="720" w:hanging="360"/>
      </w:pPr>
    </w:lvl>
    <w:lvl w:ilvl="1">
      <w:start w:val="22"/>
      <w:numFmt w:val="lowerLetter"/>
      <w:lvlText w:val="(%2)"/>
      <w:lvlJc w:val="left"/>
      <w:pPr>
        <w:ind w:left="1440" w:hanging="360"/>
      </w:pPr>
    </w:lvl>
    <w:lvl w:ilvl="2">
      <w:start w:val="22"/>
      <w:numFmt w:val="lowerLetter"/>
      <w:lvlText w:val="(%3)"/>
      <w:lvlJc w:val="left"/>
      <w:pPr>
        <w:ind w:left="2160" w:hanging="360"/>
      </w:pPr>
    </w:lvl>
    <w:lvl w:ilvl="3">
      <w:start w:val="22"/>
      <w:numFmt w:val="lowerLetter"/>
      <w:lvlText w:val="(%4)"/>
      <w:lvlJc w:val="left"/>
      <w:pPr>
        <w:ind w:left="2880" w:hanging="360"/>
      </w:pPr>
    </w:lvl>
    <w:lvl w:ilvl="4">
      <w:start w:val="22"/>
      <w:numFmt w:val="lowerLetter"/>
      <w:lvlText w:val="(%5)"/>
      <w:lvlJc w:val="left"/>
      <w:pPr>
        <w:ind w:left="3600" w:hanging="360"/>
      </w:pPr>
    </w:lvl>
    <w:lvl w:ilvl="5">
      <w:start w:val="22"/>
      <w:numFmt w:val="lowerLetter"/>
      <w:lvlText w:val="(%6)"/>
      <w:lvlJc w:val="left"/>
      <w:pPr>
        <w:ind w:left="4320" w:hanging="360"/>
      </w:pPr>
    </w:lvl>
    <w:lvl w:ilvl="6">
      <w:start w:val="22"/>
      <w:numFmt w:val="lowerLetter"/>
      <w:lvlText w:val="(%7)"/>
      <w:lvlJc w:val="left"/>
      <w:pPr>
        <w:ind w:left="5040" w:hanging="360"/>
      </w:pPr>
    </w:lvl>
    <w:lvl w:ilvl="7">
      <w:start w:val="22"/>
      <w:numFmt w:val="lowerLetter"/>
      <w:lvlText w:val="(%8)"/>
      <w:lvlJc w:val="left"/>
      <w:pPr>
        <w:ind w:left="5760" w:hanging="360"/>
      </w:pPr>
    </w:lvl>
    <w:lvl w:ilvl="8">
      <w:start w:val="22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5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5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4">
    <w:abstractNumId w:val="995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5">
    <w:abstractNumId w:val="9953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6">
    <w:abstractNumId w:val="997322"/>
    <w:lvlOverride w:ilvl="0">
      <w:startOverride w:val="22"/>
    </w:lvlOverride>
    <w:lvlOverride w:ilvl="1">
      <w:startOverride w:val="22"/>
    </w:lvlOverride>
    <w:lvlOverride w:ilvl="2">
      <w:startOverride w:val="22"/>
    </w:lvlOverride>
    <w:lvlOverride w:ilvl="3">
      <w:startOverride w:val="22"/>
    </w:lvlOverride>
    <w:lvlOverride w:ilvl="4">
      <w:startOverride w:val="22"/>
    </w:lvlOverride>
    <w:lvlOverride w:ilvl="5">
      <w:startOverride w:val="22"/>
    </w:lvlOverride>
    <w:lvlOverride w:ilvl="6">
      <w:startOverride w:val="22"/>
    </w:lvlOverride>
    <w:lvlOverride w:ilvl="7">
      <w:startOverride w:val="22"/>
    </w:lvlOverride>
    <w:lvlOverride w:ilvl="8">
      <w:startOverride w:val="22"/>
    </w:lvlOverride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6" Target="media/rId36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Process Characterization Report</dc:title>
  <dc:creator>Process Development / Manufacturing Science &amp; Technology (MSAT)</dc:creator>
  <cp:keywords/>
  <dcterms:created xsi:type="dcterms:W3CDTF">2026-07-27T09:08:22Z</dcterms:created>
  <dcterms:modified xsi:type="dcterms:W3CDTF">2026-07-27T09:08:22Z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>references.bib</vt:lpwstr>
  </property>
  <property fmtid="{D5CDD505-2E9C-101B-9397-08002B2CF9AE}" pid="5" name="by-author">
    <vt:lpwstr/>
  </property>
  <property fmtid="{D5CDD505-2E9C-101B-9397-08002B2CF9AE}" pid="6" name="date">
    <vt:lpwstr>2026-07-24</vt:lpwstr>
  </property>
  <property fmtid="{D5CDD505-2E9C-101B-9397-08002B2CF9AE}" pid="7" name="execute">
    <vt:lpwstr/>
  </property>
  <property fmtid="{D5CDD505-2E9C-101B-9397-08002B2CF9AE}" pid="8" name="fig-cap-location">
    <vt:lpwstr>bottom</vt:lpwstr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jupyter">
    <vt:lpwstr>python3</vt:lpwstr>
  </property>
  <property fmtid="{D5CDD505-2E9C-101B-9397-08002B2CF9AE}" pid="13" name="labels">
    <vt:lpwstr/>
  </property>
  <property fmtid="{D5CDD505-2E9C-101B-9397-08002B2CF9AE}" pid="14" name="subtitle">
    <vt:lpwstr>A-Mab Drug Substance — Harvest and Clarification (Step 4) — PCR-004</vt:lpwstr>
  </property>
  <property fmtid="{D5CDD505-2E9C-101B-9397-08002B2CF9AE}" pid="15" name="tbl-cap-location">
    <vt:lpwstr>top</vt:lpwstr>
  </property>
  <property fmtid="{D5CDD505-2E9C-101B-9397-08002B2CF9AE}" pid="16" name="toc-title">
    <vt:lpwstr>Table of contents</vt:lpwstr>
  </property>
</Properties>
</file>