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Low-pH Viral Inactivation (Step 6) — PCP-006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Low-pH Viral Inactivation (Step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Virology / Viral Safety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ANOVA, analysis of variance · CCD, central-composite design · CPP, critical process</w:t>
      </w:r>
      <w:r>
        <w:t xml:space="preserve"> </w:t>
      </w:r>
      <w:r>
        <w:t xml:space="preserve">parameter · CQA, critical quality attribute · DoE, design of experiments · DS, drug</w:t>
      </w:r>
      <w:r>
        <w:t xml:space="preserve"> </w:t>
      </w:r>
      <w:r>
        <w:t xml:space="preserve">substance · GPP, general process parameter · HMW, high-molecular-weight (aggregate) ·</w:t>
      </w:r>
      <w:r>
        <w:t xml:space="preserve"> </w:t>
      </w:r>
      <w:r>
        <w:t xml:space="preserve">ICH, International Council for Harmonisation · icIEF, imaged capillary isoelectric</w:t>
      </w:r>
      <w:r>
        <w:t xml:space="preserve"> </w:t>
      </w:r>
      <w:r>
        <w:t xml:space="preserve">focusing · LRF, log-reduction factor · MSAT, Manufacturing Science and Technology ·</w:t>
      </w:r>
      <w:r>
        <w:t xml:space="preserve"> </w:t>
      </w:r>
      <w:r>
        <w:t xml:space="preserve">MVM, minute virus of mice · NOR, normal operating range · PAR, proven acceptable</w:t>
      </w:r>
      <w:r>
        <w:t xml:space="preserve"> </w:t>
      </w:r>
      <w:r>
        <w:t xml:space="preserve">range · PPQ, process performance qualification · QbD, Quality by Design · RRF, risk</w:t>
      </w:r>
      <w:r>
        <w:t xml:space="preserve"> </w:t>
      </w:r>
      <w:r>
        <w:t xml:space="preserve">ranking and filtering · RSM, response-surface methodology · SDM, scale-down model ·</w:t>
      </w:r>
      <w:r>
        <w:t xml:space="preserve"> </w:t>
      </w:r>
      <w:r>
        <w:t xml:space="preserve">SEC, size-exclusion chromatography · TCID50, 50% tissue-culture infectious dose ·</w:t>
      </w:r>
      <w:r>
        <w:t xml:space="preserve"> </w:t>
      </w:r>
      <w:r>
        <w:t xml:space="preserve">WC-CPP, well-controlled CPP · XMuLV, xenotropic murine leukemia virus.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Process Characterization Plan (</w:t>
      </w:r>
      <w:r>
        <w:rPr>
          <w:b/>
          <w:bCs/>
        </w:rPr>
        <w:t xml:space="preserve">PCP-006</w:t>
      </w:r>
      <w:r>
        <w:t xml:space="preserve">) defines the Stage 1 (Process Design)</w:t>
      </w:r>
      <w:r>
        <w:t xml:space="preserve"> </w:t>
      </w:r>
      <w:r>
        <w:t xml:space="preserve">characterization of the A-Mab low-pH viral inactivation step (Step 6), the dedicated</w:t>
      </w:r>
      <w:r>
        <w:t xml:space="preserve"> </w:t>
      </w:r>
      <w:r>
        <w:t xml:space="preserve">viral-clearance operation in which the Protein A eluate is held at low pH to inactivate</w:t>
      </w:r>
      <w:r>
        <w:t xml:space="preserve"> </w:t>
      </w:r>
      <w:r>
        <w:t xml:space="preserve">enveloped viruses. The plan specifies the objectives, the attributes in scope, the</w:t>
      </w:r>
      <w:r>
        <w:t xml:space="preserve"> </w:t>
      </w:r>
      <w:r>
        <w:t xml:space="preserve">process parameters and ranges to be characterized, the experimental designs, the</w:t>
      </w:r>
      <w:r>
        <w:t xml:space="preserve"> </w:t>
      </w:r>
      <w:r>
        <w:t xml:space="preserve">analytical methods, the sampling plan, the statistical-analysis approach, and the</w:t>
      </w:r>
      <w:r>
        <w:t xml:space="preserve"> </w:t>
      </w:r>
      <w:r>
        <w:t xml:space="preserve">acceptance and decision criteria by which each parameter will be classified and a</w:t>
      </w:r>
      <w:r>
        <w:t xml:space="preserve"> </w:t>
      </w:r>
      <w:r>
        <w:t xml:space="preserve">design space established.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commercial-scale low-pH inactivation step, characterized on a qualified</w:t>
      </w:r>
      <w:r>
        <w:t xml:space="preserve"> </w:t>
      </w:r>
      <w:r>
        <w:t xml:space="preserve">small-scale inactivation model with XMuLV spiking studies. The upstream Protein A step</w:t>
      </w:r>
      <w:r>
        <w:t xml:space="preserve"> </w:t>
      </w:r>
      <w:r>
        <w:t xml:space="preserve">and the downstream polishing and virus-filtration steps are addressed only where they</w:t>
      </w:r>
      <w:r>
        <w:t xml:space="preserve"> </w:t>
      </w:r>
      <w:r>
        <w:t xml:space="preserve">define the feed to, or complement the clearance of, this step; their characterization is</w:t>
      </w:r>
      <w:r>
        <w:t xml:space="preserve"> </w:t>
      </w:r>
      <w:r>
        <w:t xml:space="preserve">out of scope. This plan governs execution only — the results are reported in the paired</w:t>
      </w:r>
      <w:r>
        <w:t xml:space="preserve"> </w:t>
      </w:r>
      <w:r>
        <w:t xml:space="preserve">Process Characterization Report (</w:t>
      </w:r>
      <w:r>
        <w:rPr>
          <w:b/>
          <w:bCs/>
        </w:rPr>
        <w:t xml:space="preserve">PCR-006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unit-operation model, quality-attribute framework and risk methodology</w:t>
      </w:r>
      <w:r>
        <w:t xml:space="preserve"> </w:t>
      </w:r>
      <w:r>
        <w:t xml:space="preserve">follow the A-Mab case study</w:t>
      </w:r>
      <w:r>
        <w:t xml:space="preserve"> </w:t>
      </w:r>
      <w:r>
        <w:t xml:space="preserve">(CMC Biotech Working Group 2009)</w:t>
      </w:r>
      <w:r>
        <w:t xml:space="preserve">; the Stage 1 approach and report structure follow</w:t>
      </w:r>
      <w:r>
        <w:t xml:space="preserve"> </w:t>
      </w:r>
      <w:r>
        <w:t xml:space="preserve">PDA TR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; the QbD framework</w:t>
      </w:r>
      <w:r>
        <w:t xml:space="preserve"> </w:t>
      </w:r>
      <w:r>
        <w:t xml:space="preserve">follows ICH Q8, Q9 and Q11</w:t>
      </w:r>
      <w:r>
        <w:t xml:space="preserve"> </w:t>
      </w:r>
      <w:r>
        <w:t xml:space="preserve">(International Council for Harmonisation 2009, 2023b, 2012)</w:t>
      </w:r>
      <w:r>
        <w:t xml:space="preserve">; viral clearance is addressed under</w:t>
      </w:r>
      <w:r>
        <w:t xml:space="preserve"> </w:t>
      </w:r>
      <w:r>
        <w:t xml:space="preserve">ICH Q5A</w:t>
      </w:r>
      <w:r>
        <w:t xml:space="preserve"> </w:t>
      </w:r>
      <w:r>
        <w:t xml:space="preserve">(International Council for Harmonisation 2023a)</w:t>
      </w:r>
      <w:r>
        <w:t xml:space="preserve">; and the lifecycle approach follows the FDA 2011 guidance</w:t>
      </w:r>
      <w:r>
        <w:t xml:space="preserve"> </w:t>
      </w:r>
      <w:r>
        <w:t xml:space="preserve">(U.S. Food and Drug Administration 2011)</w:t>
      </w:r>
      <w:r>
        <w:t xml:space="preserve">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characterization will:</w:t>
      </w:r>
    </w:p>
    <w:p>
      <w:pPr>
        <w:pStyle w:val="Compact"/>
        <w:numPr>
          <w:ilvl w:val="0"/>
          <w:numId w:val="1001"/>
        </w:numPr>
      </w:pPr>
      <w:r>
        <w:t xml:space="preserve">establish the quantitative relationships between the inactivation parameters and the</w:t>
      </w:r>
      <w:r>
        <w:t xml:space="preserve"> </w:t>
      </w:r>
      <w:r>
        <w:t xml:space="preserve">XMuLV log-reduction, the aggregate and the acidic charge variants;</w:t>
      </w:r>
    </w:p>
    <w:p>
      <w:pPr>
        <w:pStyle w:val="Compact"/>
        <w:numPr>
          <w:ilvl w:val="0"/>
          <w:numId w:val="1001"/>
        </w:numPr>
      </w:pPr>
      <w:r>
        <w:t xml:space="preserve">identify the significant main effects, two-factor interactions and curvature;</w:t>
      </w:r>
    </w:p>
    <w:p>
      <w:pPr>
        <w:pStyle w:val="Compact"/>
        <w:numPr>
          <w:ilvl w:val="0"/>
          <w:numId w:val="1001"/>
        </w:numPr>
      </w:pPr>
      <w:r>
        <w:t xml:space="preserve">define the multivariate design space over which the enveloped-virus inactivation is</w:t>
      </w:r>
      <w:r>
        <w:t xml:space="preserve"> </w:t>
      </w:r>
      <w:r>
        <w:t xml:space="preserve">assured while aggregate remains within its limit;</w:t>
      </w:r>
    </w:p>
    <w:p>
      <w:pPr>
        <w:pStyle w:val="Compact"/>
        <w:numPr>
          <w:ilvl w:val="0"/>
          <w:numId w:val="1001"/>
        </w:numPr>
      </w:pPr>
      <w:r>
        <w:t xml:space="preserve">establish proven acceptable ranges (PARs) and confirm normal operating ranges (NORs)</w:t>
      </w:r>
      <w:r>
        <w:t xml:space="preserve"> </w:t>
      </w:r>
      <w:r>
        <w:t xml:space="preserve">for each parameter;</w:t>
      </w:r>
    </w:p>
    <w:p>
      <w:pPr>
        <w:pStyle w:val="Compact"/>
        <w:numPr>
          <w:ilvl w:val="0"/>
          <w:numId w:val="1001"/>
        </w:numPr>
      </w:pPr>
      <w:r>
        <w:t xml:space="preserve">classify each parameter for its risk of impact to CQAs and to process performance</w:t>
      </w:r>
      <w:r>
        <w:t xml:space="preserve"> </w:t>
      </w:r>
      <w:r>
        <w:t xml:space="preserve">(CPP / WC-CPP / KPP / GPP); and</w:t>
      </w:r>
    </w:p>
    <w:p>
      <w:pPr>
        <w:pStyle w:val="Compact"/>
        <w:numPr>
          <w:ilvl w:val="0"/>
          <w:numId w:val="1001"/>
        </w:numPr>
      </w:pPr>
      <w:r>
        <w:t xml:space="preserve">provide the process understanding and ranges that justify the Stage 2 operating</w:t>
      </w:r>
      <w:r>
        <w:t xml:space="preserve"> </w:t>
      </w:r>
      <w:r>
        <w:t xml:space="preserve">conditions and the viral-safety control strategy.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r>
        <w:t xml:space="preserve">This plan is executed under the master documents below and is paired with its report; the</w:t>
      </w:r>
      <w:r>
        <w:t xml:space="preserve"> </w:t>
      </w:r>
      <w:r>
        <w:t xml:space="preserve">full package 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 in the A-Mab process-characterization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73"/>
              <w:gridCol w:w="4544"/>
              <w:gridCol w:w="240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(Low-pH Viral Inactivation (Step 6))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governing procedures and validated analytical methods referenced by this plan are</w:t>
      </w:r>
      <w:r>
        <w:t xml:space="preserve"> </w:t>
      </w:r>
      <w:r>
        <w:t xml:space="preserve">listed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(numbers are placeholders in this synthetic set).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Referenced standard operating procedures and analytical method validations.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Low-pH Viral Inactivation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Low-pH viral inactivation is the dedicated inactivation step of the A-Mab purification</w:t>
      </w:r>
      <w:r>
        <w:t xml:space="preserve"> </w:t>
      </w:r>
      <w:r>
        <w:t xml:space="preserve">train: the Protein A eluate, already at low pH from the acidic elution, is titrated to the</w:t>
      </w:r>
      <w:r>
        <w:t xml:space="preserve"> </w:t>
      </w:r>
      <w:r>
        <w:t xml:space="preserve">target inactivation pH, held for a defined time at controlled temperature, and then</w:t>
      </w:r>
      <w:r>
        <w:t xml:space="preserve"> </w:t>
      </w:r>
      <w:r>
        <w:t xml:space="preserve">neutralized before the next step</w:t>
      </w:r>
      <w:r>
        <w:t xml:space="preserve"> </w:t>
      </w:r>
      <w:r>
        <w:t xml:space="preserve">(CMC Biotech Working Group 2009; International Council for Harmonisation 2023a)</w:t>
      </w:r>
      <w:r>
        <w:t xml:space="preserve">. Low pH disrupts the lipid envelope</w:t>
      </w:r>
      <w:r>
        <w:t xml:space="preserve"> </w:t>
      </w:r>
      <w:r>
        <w:t xml:space="preserve">of enveloped viruses and is a robust clearance mechanism for the endogenous</w:t>
      </w:r>
      <w:r>
        <w:t xml:space="preserve"> </w:t>
      </w:r>
      <w:r>
        <w:t xml:space="preserve">retrovirus-like particles modelled by XMuLV; it is ineffective against the non-enveloped</w:t>
      </w:r>
      <w:r>
        <w:t xml:space="preserve"> </w:t>
      </w:r>
      <w:r>
        <w:t xml:space="preserve">parvovirus model MVM, whose clearance is provided orthogonally by anion exchange and</w:t>
      </w:r>
      <w:r>
        <w:t xml:space="preserve"> </w:t>
      </w:r>
      <w:r>
        <w:t xml:space="preserve">small-virus filtration. Platform knowledge established that inactivation increases as pH is</w:t>
      </w:r>
      <w:r>
        <w:t xml:space="preserve"> </w:t>
      </w:r>
      <w:r>
        <w:t xml:space="preserve">lowered and as hold time and temperature increase; that the acceptable pH window is narrow</w:t>
      </w:r>
      <w:r>
        <w:t xml:space="preserve"> </w:t>
      </w:r>
      <w:r>
        <w:t xml:space="preserve">and high-consequence (above ~4.0 the inactivation is incomplete; below ~3.2 the product is</w:t>
      </w:r>
      <w:r>
        <w:t xml:space="preserve"> </w:t>
      </w:r>
      <w:r>
        <w:t xml:space="preserve">at risk of acid-induced aggregation); and that aggregate can form during a prolonged or</w:t>
      </w:r>
      <w:r>
        <w:t xml:space="preserve"> </w:t>
      </w:r>
      <w:r>
        <w:t xml:space="preserve">warm hold. This knowledge frames the attributes in scope and the prioritization of</w:t>
      </w:r>
      <w:r>
        <w:t xml:space="preserve"> </w:t>
      </w:r>
      <w:r>
        <w:t xml:space="preserve">parameters.</w:t>
      </w:r>
    </w:p>
    <w:bookmarkEnd w:id="17"/>
    <w:bookmarkStart w:id="19" w:name="quality-attributes-in-scope"/>
    <w:p>
      <w:pPr>
        <w:pStyle w:val="Heading2"/>
      </w:pPr>
      <w:r>
        <w:t xml:space="preserve">4.2 Quality attributes in scope</w:t>
      </w:r>
    </w:p>
    <w:p>
      <w:pPr>
        <w:pStyle w:val="FirstParagraph"/>
      </w:pPr>
      <w:r>
        <w:t xml:space="preserve">The step sets the (cumulative) enveloped-virus clearance CQA (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) and carries a</w:t>
      </w:r>
      <w:r>
        <w:t xml:space="preserve"> </w:t>
      </w:r>
      <w:r>
        <w:t xml:space="preserve">product-quality risk of aggregate formation during the low-pH hold; acidic charge variants</w:t>
      </w:r>
      <w:r>
        <w:t xml:space="preserve"> </w:t>
      </w:r>
      <w:r>
        <w:t xml:space="preserve">are followed as they can shift slightly during the hold. Criticality is scored on the A-Mab</w:t>
      </w:r>
      <w:r>
        <w:t xml:space="preserve"> </w:t>
      </w:r>
      <w:r>
        <w:t xml:space="preserve">continuum using Tool #1 (Risk Score = Impact × Uncertainty); attributes rated High (H) or</w:t>
      </w:r>
      <w:r>
        <w:t xml:space="preserve"> </w:t>
      </w:r>
      <w:r>
        <w:t xml:space="preserve">Very High (VH) are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(CMC Biotech Working Group 2009; International Council for Harmonisation 2023b)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Viral-clearance CQA set by the low-pH inactivation step, with acceptance criterion and criticality (Tool #1 = Impact × Uncertainty).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90"/>
              <w:gridCol w:w="1056"/>
              <w:gridCol w:w="2112"/>
              <w:gridCol w:w="1131"/>
              <w:gridCol w:w="82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XMuLV clearance CQA is expressed as the cumulative log-reduction across the process</w:t>
      </w:r>
      <w:r>
        <w:t xml:space="preserve"> </w:t>
      </w:r>
      <w:r>
        <w:t xml:space="preserve">(≥ 16.7 log₁₀), to which this step is the single largest</w:t>
      </w:r>
      <w:r>
        <w:t xml:space="preserve"> </w:t>
      </w:r>
      <w:r>
        <w:t xml:space="preserve">contributor; the aggregate is a High-criticality size-variant CQA (limit</w:t>
      </w:r>
      <w:r>
        <w:t xml:space="preserve"> </w:t>
      </w:r>
      <w:r>
        <w:t xml:space="preserve">5% HMW) that this step can increase and that cation exchange</w:t>
      </w:r>
      <w:r>
        <w:t xml:space="preserve"> </w:t>
      </w:r>
      <w:r>
        <w:t xml:space="preserve">subsequently polishes.</w:t>
      </w:r>
    </w:p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Consistent with the A-Mab lifecycle of iterative risk assessments and the risk flow of PDA</w:t>
      </w:r>
      <w:r>
        <w:t xml:space="preserve"> </w:t>
      </w:r>
      <w:r>
        <w:t xml:space="preserve">TR 60, the study scope is set by the Pre-Characterization Process Risk Assessment</w:t>
      </w:r>
      <w:r>
        <w:t xml:space="preserve"> </w:t>
      </w:r>
      <w:r>
        <w:t xml:space="preserve">(</w:t>
      </w:r>
      <w:r>
        <w:rPr>
          <w:b/>
          <w:bCs/>
        </w:rPr>
        <w:t xml:space="preserve">RA-001</w:t>
      </w:r>
      <w:r>
        <w:t xml:space="preserve">). A risk-ranking-and-filtering (RRF) screen scores each parameter for its</w:t>
      </w:r>
      <w:r>
        <w:t xml:space="preserve"> </w:t>
      </w:r>
      <w:r>
        <w:t xml:space="preserve">potential impact and assigns the study type accordingly: inactivation pH, hold time and</w:t>
      </w:r>
      <w:r>
        <w:t xml:space="preserve"> </w:t>
      </w:r>
      <w:r>
        <w:t xml:space="preserve">temperature (credible impact to the enveloped-virus inactivation and to aggregate) are</w:t>
      </w:r>
      <w:r>
        <w:t xml:space="preserve"> </w:t>
      </w:r>
      <w:r>
        <w:t xml:space="preserve">studied in the multivariate DoE; A-Mab concentration, expected to affect neither over a</w:t>
      </w:r>
      <w:r>
        <w:t xml:space="preserve"> </w:t>
      </w:r>
      <w:r>
        <w:t xml:space="preserve">wide range, is studied univariately</w:t>
      </w:r>
      <w:r>
        <w:t xml:space="preserve"> </w:t>
      </w:r>
      <w:r>
        <w:t xml:space="preserve">(CMC Biotech Working Group 2009)</w:t>
      </w:r>
      <w:r>
        <w:t xml:space="preserve">. The resulting parameter set and study-type</w:t>
      </w:r>
      <w:r>
        <w:t xml:space="preserve"> </w:t>
      </w:r>
      <w:r>
        <w:t xml:space="preserve">assignment are given in</w:t>
      </w:r>
      <w:r>
        <w:t xml:space="preserve"> 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Characterization will be performed on a small-scale inactivation model operated at the</w:t>
      </w:r>
      <w:r>
        <w:t xml:space="preserve"> </w:t>
      </w:r>
      <w:r>
        <w:t xml:space="preserve">commercial-process equivalents for acidification, mixing, hold vessel geometry and</w:t>
      </w:r>
      <w:r>
        <w:t xml:space="preserve"> </w:t>
      </w:r>
      <w:r>
        <w:t xml:space="preserve">temperature control (</w:t>
      </w:r>
      <w:r>
        <w:rPr>
          <w:b/>
          <w:bCs/>
        </w:rPr>
        <w:t xml:space="preserve">SOP-2009</w:t>
      </w:r>
      <w:r>
        <w:t xml:space="preserve">). Viral log-reduction will be determined in spiking</w:t>
      </w:r>
      <w:r>
        <w:t xml:space="preserve"> </w:t>
      </w:r>
      <w:r>
        <w:t xml:space="preserve">studies in which a characterized XMuLV stock is added to the starting material and the</w:t>
      </w:r>
      <w:r>
        <w:t xml:space="preserve"> </w:t>
      </w:r>
      <w:r>
        <w:t xml:space="preserve">infectious titre measured before and after the hold. Prior to characterization the SDM will</w:t>
      </w:r>
      <w:r>
        <w:t xml:space="preserve"> </w:t>
      </w:r>
      <w:r>
        <w:t xml:space="preserve">be qualified against at-scale reference data (</w:t>
      </w:r>
      <w:r>
        <w:rPr>
          <w:b/>
          <w:bCs/>
        </w:rPr>
        <w:t xml:space="preserve">SOP-1001</w:t>
      </w:r>
      <w:r>
        <w:t xml:space="preserve">) by comparing the operational</w:t>
      </w:r>
      <w:r>
        <w:t xml:space="preserve"> </w:t>
      </w:r>
      <w:r>
        <w:t xml:space="preserve">parameters and the output attributes — XMuLV log-reduction, aggregate and charge variants —</w:t>
      </w:r>
      <w:r>
        <w:t xml:space="preserve"> </w:t>
      </w:r>
      <w:r>
        <w:t xml:space="preserve">to confirm the model is representative and suitable to support design-space and PAR claims</w:t>
      </w:r>
      <w:r>
        <w:t xml:space="preserve"> </w:t>
      </w:r>
      <w:r>
        <w:t xml:space="preserve">(Parenteral Drug Association 2013; International Council for Harmonisation 2023a)</w:t>
      </w:r>
      <w:r>
        <w:t xml:space="preserve">. The centre-point replicates of each design provide an in-study estimate</w:t>
      </w:r>
      <w:r>
        <w:t xml:space="preserve"> </w:t>
      </w:r>
      <w:r>
        <w:t xml:space="preserve">of model reproducibility (pure error) used in the lack-of-fit assessment.</w:t>
      </w:r>
    </w:p>
    <w:bookmarkEnd w:id="22"/>
    <w:bookmarkStart w:id="23" w:name="operation"/>
    <w:p>
      <w:pPr>
        <w:pStyle w:val="Heading2"/>
      </w:pPr>
      <w:r>
        <w:t xml:space="preserve">5.2 Operation</w:t>
      </w:r>
    </w:p>
    <w:p>
      <w:pPr>
        <w:pStyle w:val="FirstParagraph"/>
      </w:pPr>
      <w:r>
        <w:t xml:space="preserve">The Protein A eluate is titrated with acid to the target inactivation pH, mixed, and held</w:t>
      </w:r>
      <w:r>
        <w:t xml:space="preserve"> </w:t>
      </w:r>
      <w:r>
        <w:t xml:space="preserve">for the defined hold time at controlled temperature; the solution is then neutralized to</w:t>
      </w:r>
      <w:r>
        <w:t xml:space="preserve"> </w:t>
      </w:r>
      <w:r>
        <w:t xml:space="preserve">the load condition of the next step. Inactivation pH and temperature are controlled to</w:t>
      </w:r>
      <w:r>
        <w:t xml:space="preserve"> </w:t>
      </w:r>
      <w:r>
        <w:t xml:space="preserve">set-point and the hold time is timed from attainment of the target pH. Buffers and the</w:t>
      </w:r>
      <w:r>
        <w:t xml:space="preserve"> </w:t>
      </w:r>
      <w:r>
        <w:t xml:space="preserve">A-Mab concentration of the incoming pool are controlled to platform specifications and are</w:t>
      </w:r>
      <w:r>
        <w:t xml:space="preserve"> </w:t>
      </w:r>
      <w:r>
        <w:t xml:space="preserve">treated as quality-controlled inputs, except for the concentration range assessed</w:t>
      </w:r>
      <w:r>
        <w:t xml:space="preserve"> </w:t>
      </w:r>
      <w:r>
        <w:t xml:space="preserve">univariately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The step responses will be measured by the validated methods 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; method</w:t>
      </w:r>
      <w:r>
        <w:t xml:space="preserve"> </w:t>
      </w:r>
      <w:r>
        <w:t xml:space="preserve">performance characteristics are per the cited validation reports.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Validated analytical methods for the characterization.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Each DoE run will be sampled before and after the hold for the XMuLV infectious titre and</w:t>
      </w:r>
      <w:r>
        <w:t xml:space="preserve"> </w:t>
      </w:r>
      <w:r>
        <w:t xml:space="preserve">at the end of the hold for aggregate and acidic charge variants; in-process pH, temperature</w:t>
      </w:r>
      <w:r>
        <w:t xml:space="preserve"> </w:t>
      </w:r>
      <w:r>
        <w:t xml:space="preserve">and hold-time records will confirm the run conditions. Centre-point runs are replicated</w:t>
      </w:r>
      <w:r>
        <w:t xml:space="preserve"> </w:t>
      </w:r>
      <w:r>
        <w:t xml:space="preserve">within each design (three in screening, four in the response-surface design) to quantify</w:t>
      </w:r>
      <w:r>
        <w:t xml:space="preserve"> </w:t>
      </w:r>
      <w:r>
        <w:t xml:space="preserve">reproducibility and pure error.</w:t>
      </w:r>
    </w:p>
    <w:bookmarkEnd w:id="26"/>
    <w:bookmarkStart w:id="27" w:name="statistical-methods"/>
    <w:p>
      <w:pPr>
        <w:pStyle w:val="Heading2"/>
      </w:pPr>
      <w:r>
        <w:t xml:space="preserve">5.5 Statistical methods</w:t>
      </w:r>
    </w:p>
    <w:p>
      <w:pPr>
        <w:pStyle w:val="FirstParagraph"/>
      </w:pPr>
      <w:r>
        <w:t xml:space="preserve">Designs will be constructed and analyzed in coded factors, with each parameter’s</w:t>
      </w:r>
      <w:r>
        <w:t xml:space="preserve"> </w:t>
      </w:r>
      <w:r>
        <w:t xml:space="preserve">characterization range mapped so that the set-point is 0 and the range edges are ±1</w:t>
      </w:r>
      <w:r>
        <w:t xml:space="preserve"> </w:t>
      </w:r>
      <w:r>
        <w:t xml:space="preserve">(</w:t>
      </w:r>
      <w:r>
        <w:rPr>
          <w:b/>
          <w:bCs/>
        </w:rPr>
        <w:t xml:space="preserve">SOP-1002</w:t>
      </w:r>
      <w:r>
        <w:t xml:space="preserve">). Screening data will be analyzed by ordinary-least-squares regression of each</w:t>
      </w:r>
      <w:r>
        <w:t xml:space="preserve"> </w:t>
      </w:r>
      <w:r>
        <w:t xml:space="preserve">response on the main effects and all two-factor interactions; factor effects are reported as</w:t>
      </w:r>
      <w:r>
        <w:t xml:space="preserve"> </w:t>
      </w:r>
      <w:r>
        <w:t xml:space="preserve">twice the coded coefficient. Response-surface data will be analyzed with the full quadratic</w:t>
      </w:r>
      <w:r>
        <w:t xml:space="preserve"> </w:t>
      </w:r>
      <w:r>
        <w:t xml:space="preserve">model. Significance will be assessed at α = 0.05. Model adequacy will be judged by R²,</w:t>
      </w:r>
      <w:r>
        <w:t xml:space="preserve"> </w:t>
      </w:r>
      <w:r>
        <w:t xml:space="preserve">adjusted R², predicted R², the overall model F-test, and an ANOVA lack-of-fit test against</w:t>
      </w:r>
      <w:r>
        <w:t xml:space="preserve"> </w:t>
      </w:r>
      <w:r>
        <w:t xml:space="preserve">the centre-point pure error. Consistent with the conservative treatment of viral clearance</w:t>
      </w:r>
      <w:r>
        <w:t xml:space="preserve"> </w:t>
      </w:r>
      <w:r>
        <w:t xml:space="preserve">(International Council for Harmonisation 2023a)</w:t>
      </w:r>
      <w:r>
        <w:t xml:space="preserve">, the enveloped-virus clearance claim will be taken from the demonstrated</w:t>
      </w:r>
      <w:r>
        <w:t xml:space="preserve"> </w:t>
      </w:r>
      <w:r>
        <w:t xml:space="preserve">log-reduction rather than from an extrapolated model. The design space will be defined as</w:t>
      </w:r>
      <w:r>
        <w:t xml:space="preserve"> </w:t>
      </w:r>
      <w:r>
        <w:t xml:space="preserve">the region of inactivation pH and hold time over which the XMuLV log-reduction is assured</w:t>
      </w:r>
      <w:r>
        <w:t xml:space="preserve"> </w:t>
      </w:r>
      <w:r>
        <w:t xml:space="preserve">and aggregate remains within its limit, and commercial-scale capability of the cumulative</w:t>
      </w:r>
      <w:r>
        <w:t xml:space="preserve"> </w:t>
      </w:r>
      <w:r>
        <w:t xml:space="preserve">XMuLV clearance will be estimated by Monte-Carlo simulation with each parameter varied</w:t>
      </w:r>
      <w:r>
        <w:t xml:space="preserve"> </w:t>
      </w:r>
      <w:r>
        <w:t xml:space="preserve">within its NOR.</w:t>
      </w:r>
    </w:p>
    <w:bookmarkEnd w:id="27"/>
    <w:bookmarkEnd w:id="28"/>
    <w:bookmarkStart w:id="35" w:name="study-design"/>
    <w:p>
      <w:pPr>
        <w:pStyle w:val="Heading1"/>
      </w:pPr>
      <w:r>
        <w:t xml:space="preserve">6. Study design</w:t>
      </w:r>
    </w:p>
    <w:bookmarkStart w:id="31" w:name="factors-ranges-and-study-type"/>
    <w:p>
      <w:pPr>
        <w:pStyle w:val="Heading2"/>
      </w:pPr>
      <w:r>
        <w:t xml:space="preserve">6.1 Factors, ranges and study type</w:t>
      </w:r>
    </w:p>
    <w:p>
      <w:pPr>
        <w:pStyle w:val="FirstParagraph"/>
      </w:pPr>
      <w:r>
        <w:t xml:space="preserve">Four parameters are in scope (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). The characterization range of each factor</w:t>
      </w:r>
      <w:r>
        <w:t xml:space="preserve"> </w:t>
      </w:r>
      <w:r>
        <w:t xml:space="preserve">(</w:t>
      </w:r>
      <w:r>
        <w:t xml:space="preserve">“Range studied”</w:t>
      </w:r>
      <w:r>
        <w:t xml:space="preserve">) defines the edges of the explored knowledge space and the basis of the</w:t>
      </w:r>
      <w:r>
        <w:t xml:space="preserve"> </w:t>
      </w:r>
      <w:r>
        <w:t xml:space="preserve">PAR; the NOR is the tighter routine-control range. Classification is an output of the study</w:t>
      </w:r>
      <w:r>
        <w:t xml:space="preserve"> </w:t>
      </w:r>
      <w:r>
        <w:t xml:space="preserve">and is reported in PCR-006. The DoE factor coding for the three multivariate factors is</w:t>
      </w:r>
      <w:r>
        <w:t xml:space="preserve"> </w:t>
      </w:r>
      <w:r>
        <w:t xml:space="preserve">given in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Low-pH inactivation parameters, set-points, characterization ranges and planned study type.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28"/>
              <w:gridCol w:w="772"/>
              <w:gridCol w:w="1255"/>
              <w:gridCol w:w="1641"/>
              <w:gridCol w:w="869"/>
              <w:gridCol w:w="13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19–23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5–35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5–35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Design-of-experiments factor legend (coded A–C).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creening-design"/>
    <w:p>
      <w:pPr>
        <w:pStyle w:val="Heading2"/>
      </w:pPr>
      <w:r>
        <w:t xml:space="preserve">6.2 Screening design</w:t>
      </w:r>
    </w:p>
    <w:p>
      <w:pPr>
        <w:pStyle w:val="FirstParagraph"/>
      </w:pPr>
      <w:r>
        <w:t xml:space="preserve">Factor screening will use a two-level full factorial in the three multivariate factors</w:t>
      </w:r>
      <w:r>
        <w:t xml:space="preserve"> </w:t>
      </w:r>
      <w:r>
        <w:t xml:space="preserve">(A–C) with three centre-point replicates, 11 runs in total. The full factorial</w:t>
      </w:r>
      <w:r>
        <w:t xml:space="preserve"> </w:t>
      </w:r>
      <w:r>
        <w:t xml:space="preserve">estimates all three main effects and all three two-factor interactions without confounding.</w:t>
      </w:r>
      <w:r>
        <w:t xml:space="preserve"> </w:t>
      </w:r>
      <w:r>
        <w:t xml:space="preserve">Three responses will be recorded for each run (XMuLV log-reduction, aggregate and acidic</w:t>
      </w:r>
      <w:r>
        <w:t xml:space="preserve"> </w:t>
      </w:r>
      <w:r>
        <w:t xml:space="preserve">charge variants). The planned coded design is given in Appendix A.</w:t>
      </w:r>
    </w:p>
    <w:bookmarkEnd w:id="32"/>
    <w:bookmarkStart w:id="33" w:name="response-surface-design"/>
    <w:p>
      <w:pPr>
        <w:pStyle w:val="Heading2"/>
      </w:pPr>
      <w:r>
        <w:t xml:space="preserve">6.3 Response-surface design</w:t>
      </w:r>
    </w:p>
    <w:p>
      <w:pPr>
        <w:pStyle w:val="FirstParagraph"/>
      </w:pPr>
      <w:r>
        <w:t xml:space="preserve">The three multivariate factors will be carried into a face-centred central-composite design</w:t>
      </w:r>
      <w:r>
        <w:t xml:space="preserve"> </w:t>
      </w:r>
      <w:r>
        <w:t xml:space="preserve">with four centre-point replicates, 18 runs in total, enabling estimation of</w:t>
      </w:r>
      <w:r>
        <w:t xml:space="preserve"> </w:t>
      </w:r>
      <w:r>
        <w:t xml:space="preserve">curvature in addition to main effects and interactions. The planned coded design is given in</w:t>
      </w:r>
      <w:r>
        <w:t xml:space="preserve"> </w:t>
      </w:r>
      <w:r>
        <w:t xml:space="preserve">Appendix B.</w:t>
      </w:r>
    </w:p>
    <w:bookmarkEnd w:id="33"/>
    <w:bookmarkStart w:id="34" w:name="univariate-assessment"/>
    <w:p>
      <w:pPr>
        <w:pStyle w:val="Heading2"/>
      </w:pPr>
      <w:r>
        <w:t xml:space="preserve">6.4 Univariate assessment</w:t>
      </w:r>
    </w:p>
    <w:p>
      <w:pPr>
        <w:pStyle w:val="FirstParagraph"/>
      </w:pPr>
      <w:r>
        <w:t xml:space="preserve">A-Mab concentration will be evaluated one factor at a time across its characterization range</w:t>
      </w:r>
      <w:r>
        <w:t xml:space="preserve"> </w:t>
      </w:r>
      <w:r>
        <w:t xml:space="preserve">for its effect on the XMuLV log-reduction and aggregate.</w:t>
      </w:r>
    </w:p>
    <w:bookmarkEnd w:id="34"/>
    <w:bookmarkEnd w:id="35"/>
    <w:bookmarkStart w:id="36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The study is acceptable when:</w:t>
      </w:r>
    </w:p>
    <w:p>
      <w:pPr>
        <w:pStyle w:val="Compact"/>
        <w:numPr>
          <w:ilvl w:val="0"/>
          <w:numId w:val="1002"/>
        </w:numPr>
      </w:pPr>
      <w:r>
        <w:t xml:space="preserve">the SDM qualification confirms representativeness of commercial scale (</w:t>
      </w:r>
      <w:r>
        <w:rPr>
          <w:b/>
          <w:bCs/>
        </w:rPr>
        <w:t xml:space="preserve">SOP-1001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the fitted response-surface model for the aggregate is adequate — target R² ≥ 0.90, no</w:t>
      </w:r>
      <w:r>
        <w:t xml:space="preserve"> </w:t>
      </w:r>
      <w:r>
        <w:t xml:space="preserve">significant lack of fit (p &gt; 0.05 against the centre-point pure error), and residual</w:t>
      </w:r>
      <w:r>
        <w:t xml:space="preserve"> </w:t>
      </w:r>
      <w:r>
        <w:t xml:space="preserve">diagnostics without systematic structure — and the XMuLV log-reduction model is adequate</w:t>
      </w:r>
      <w:r>
        <w:t xml:space="preserve"> </w:t>
      </w:r>
      <w:r>
        <w:t xml:space="preserve">(no significant lack of fit), with the clearance claim taken conservatively from the</w:t>
      </w:r>
      <w:r>
        <w:t xml:space="preserve"> </w:t>
      </w:r>
      <w:r>
        <w:t xml:space="preserve">demonstrated log-reduction rather than the model</w:t>
      </w:r>
      <w:r>
        <w:t xml:space="preserve"> </w:t>
      </w:r>
      <w:r>
        <w:t xml:space="preserve">(International Council for Harmonisation 2023a)</w:t>
      </w:r>
      <w:r>
        <w:t xml:space="preserve">; and</w:t>
      </w:r>
    </w:p>
    <w:p>
      <w:pPr>
        <w:pStyle w:val="Compact"/>
        <w:numPr>
          <w:ilvl w:val="0"/>
          <w:numId w:val="1002"/>
        </w:numPr>
      </w:pPr>
      <w:r>
        <w:t xml:space="preserve">a design space exists over which the XMuLV log-reduction is assured and aggregate remains</w:t>
      </w:r>
      <w:r>
        <w:t xml:space="preserve"> </w:t>
      </w:r>
      <w:r>
        <w:t xml:space="preserve">within its limit at the set-point and across each parameter’s NOR.</w:t>
      </w:r>
    </w:p>
    <w:p>
      <w:pPr>
        <w:pStyle w:val="FirstParagraph"/>
      </w:pPr>
      <w:r>
        <w:t xml:space="preserve">Each parameter will then be classified per the A-Mab continuum</w:t>
      </w:r>
      <w:r>
        <w:t xml:space="preserve"> </w:t>
      </w:r>
      <w:r>
        <w:t xml:space="preserve">(CMC Biotech Working Group 2009)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 parameter whose variability significantly impacts a CQA is a</w:t>
      </w:r>
      <w:r>
        <w:t xml:space="preserve"> </w:t>
      </w:r>
      <w:r>
        <w:rPr>
          <w:b/>
          <w:bCs/>
        </w:rPr>
        <w:t xml:space="preserve">CPP</w:t>
      </w:r>
      <w:r>
        <w:t xml:space="preserve">; where the impact is</w:t>
      </w:r>
      <w:r>
        <w:t xml:space="preserve"> </w:t>
      </w:r>
      <w:r>
        <w:t xml:space="preserve">reliably controlled within the design space (low risk of leaving it) the parameter is a</w:t>
      </w:r>
      <w:r>
        <w:t xml:space="preserve"> </w:t>
      </w:r>
      <w:r>
        <w:rPr>
          <w:b/>
          <w:bCs/>
        </w:rPr>
        <w:t xml:space="preserve">well-controlled CPP (WC-CPP)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parameter that does not significantly impact a CQA but affects process performance or</w:t>
      </w:r>
      <w:r>
        <w:t xml:space="preserve"> </w:t>
      </w:r>
      <w:r>
        <w:t xml:space="preserve">consistency is a</w:t>
      </w:r>
      <w:r>
        <w:t xml:space="preserve"> </w:t>
      </w:r>
      <w:r>
        <w:rPr>
          <w:b/>
          <w:bCs/>
        </w:rPr>
        <w:t xml:space="preserve">KPP</w:t>
      </w:r>
      <w:r>
        <w:t xml:space="preserve">; otherwise it is a</w:t>
      </w:r>
      <w:r>
        <w:t xml:space="preserve"> </w:t>
      </w:r>
      <w:r>
        <w:rPr>
          <w:b/>
          <w:bCs/>
        </w:rPr>
        <w:t xml:space="preserve">GPP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consistent with the post-characterization FMEA convention, a parameter that affects a CQA</w:t>
      </w:r>
      <w:r>
        <w:t xml:space="preserve"> </w:t>
      </w:r>
      <w:r>
        <w:t xml:space="preserve">with Severity ≥ 8, or that carries an initial (pre-mitigation) risk priority number &gt; 72,</w:t>
      </w:r>
      <w:r>
        <w:t xml:space="preserve"> </w:t>
      </w:r>
      <w:r>
        <w:t xml:space="preserve">is designated a CPP before mitigation by the control strategy.</w:t>
      </w:r>
    </w:p>
    <w:p>
      <w:pPr>
        <w:pStyle w:val="FirstParagraph"/>
      </w:pPr>
      <w:r>
        <w:t xml:space="preserve">The design space, classifications and PARs established here will justify the Stage 2</w:t>
      </w:r>
      <w:r>
        <w:t xml:space="preserve"> </w:t>
      </w:r>
      <w:r>
        <w:t xml:space="preserve">operating ranges and feed the viral-safety control strategy.</w:t>
      </w:r>
    </w:p>
    <w:bookmarkEnd w:id="36"/>
    <w:bookmarkStart w:id="37" w:name="data-management-and-integrity"/>
    <w:p>
      <w:pPr>
        <w:pStyle w:val="Heading1"/>
      </w:pPr>
      <w:r>
        <w:t xml:space="preserve">8. Data management and integrity</w:t>
      </w:r>
    </w:p>
    <w:p>
      <w:pPr>
        <w:pStyle w:val="FirstParagraph"/>
      </w:pPr>
      <w:r>
        <w:t xml:space="preserve">All raw data, DoE designs, analytical and infectivity-assay results and statistical analyses</w:t>
      </w:r>
      <w:r>
        <w:t xml:space="preserve"> </w:t>
      </w:r>
      <w:r>
        <w:t xml:space="preserve">will be recorded and retained under the site data-integrity procedures (ALCOA+). Analyses</w:t>
      </w:r>
      <w:r>
        <w:t xml:space="preserve"> </w:t>
      </w:r>
      <w:r>
        <w:t xml:space="preserve">will be performed with version-controlled scripts and reviewed by a second analyst; designs,</w:t>
      </w:r>
      <w:r>
        <w:t xml:space="preserve"> </w:t>
      </w:r>
      <w:r>
        <w:t xml:space="preserve">models and the derived design space will be archived with the report. Any deviation from</w:t>
      </w:r>
      <w:r>
        <w:t xml:space="preserve"> </w:t>
      </w:r>
      <w:r>
        <w:t xml:space="preserve">this plan will be documented and assessed for impact in PCR-006.</w:t>
      </w:r>
    </w:p>
    <w:bookmarkEnd w:id="37"/>
    <w:bookmarkStart w:id="39" w:name="roles-and-responsibilities"/>
    <w:p>
      <w:pPr>
        <w:pStyle w:val="Heading1"/>
      </w:pPr>
      <w:r>
        <w:t xml:space="preserve">9.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Roles and responsibilities.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the plan; design, execute and analyze the DoE; author PCR-006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 aggregate and charge-variant testing under the referenced AMV methods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Virology / Viral Safety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Execute the XMuLV spiking studies and infectivity assays; review clearance claims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 the design, the statistical analysis and the design-space 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plan and the report; confirm parameter classifications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deliverables-and-schedule"/>
    <w:p>
      <w:pPr>
        <w:pStyle w:val="Heading1"/>
      </w:pPr>
      <w:r>
        <w:t xml:space="preserve">10. Deliverables and schedule</w:t>
      </w:r>
    </w:p>
    <w:p>
      <w:pPr>
        <w:pStyle w:val="FirstParagraph"/>
      </w:pPr>
      <w:r>
        <w:t xml:space="preserve">The deliverable of this plan is the Process Characterization Report (</w:t>
      </w:r>
      <w:r>
        <w:rPr>
          <w:b/>
          <w:bCs/>
        </w:rPr>
        <w:t xml:space="preserve">PCR-006</w:t>
      </w:r>
      <w:r>
        <w:t xml:space="preserve">), reporting</w:t>
      </w:r>
      <w:r>
        <w:t xml:space="preserve"> </w:t>
      </w:r>
      <w:r>
        <w:t xml:space="preserve">the executed designs, the significant effects, the design space, the parameter classification</w:t>
      </w:r>
      <w:r>
        <w:t xml:space="preserve"> </w:t>
      </w:r>
      <w:r>
        <w:t xml:space="preserve">and the viral-clearance and aggregate outcomes. PCR-006 rolls up into the Process</w:t>
      </w:r>
      <w:r>
        <w:t xml:space="preserve"> </w:t>
      </w:r>
      <w:r>
        <w:t xml:space="preserve">Characterization Master Report (</w:t>
      </w:r>
      <w:r>
        <w:rPr>
          <w:b/>
          <w:bCs/>
        </w:rPr>
        <w:t xml:space="preserve">PCMR-001</w:t>
      </w:r>
      <w:r>
        <w:t xml:space="preserve">) and provides the parameter risk basis for the</w:t>
      </w:r>
      <w:r>
        <w:t xml:space="preserve"> </w:t>
      </w:r>
      <w:r>
        <w:t xml:space="preserve">post-characterization process risk assessment. Execution follows SDM qualification and</w:t>
      </w:r>
      <w:r>
        <w:t xml:space="preserve"> </w:t>
      </w:r>
      <w:r>
        <w:t xml:space="preserve">precedes the Stage 2 PPQ and viral-clearance validation campaigns.</w:t>
      </w:r>
    </w:p>
    <w:bookmarkEnd w:id="40"/>
    <w:bookmarkStart w:id="41" w:name="risks-and-assumptions"/>
    <w:p>
      <w:pPr>
        <w:pStyle w:val="Heading1"/>
      </w:pPr>
      <w:r>
        <w:t xml:space="preserve">11. Risks and assumptions</w:t>
      </w:r>
    </w:p>
    <w:p>
      <w:pPr>
        <w:pStyle w:val="FirstParagraph"/>
      </w:pPr>
      <w:r>
        <w:t xml:space="preserve">The plan assumes the SDM is representative of commercial scale (confirmed by qualification)</w:t>
      </w:r>
      <w:r>
        <w:t xml:space="preserve"> </w:t>
      </w:r>
      <w:r>
        <w:t xml:space="preserve">and that the XMuLV stock and infectivity assay are qualified and in control. The principal</w:t>
      </w:r>
      <w:r>
        <w:t xml:space="preserve"> </w:t>
      </w:r>
      <w:r>
        <w:t xml:space="preserve">risk is that the infectivity assay’s inherent variability limits the precision of the</w:t>
      </w:r>
      <w:r>
        <w:t xml:space="preserve"> </w:t>
      </w:r>
      <w:r>
        <w:t xml:space="preserve">modelled log-reduction; this is mitigated by taking the clearance claim conservatively from</w:t>
      </w:r>
      <w:r>
        <w:t xml:space="preserve"> </w:t>
      </w:r>
      <w:r>
        <w:t xml:space="preserve">the demonstrated log-reduction, by controlling inactivation pH to a tight NOR, and by</w:t>
      </w:r>
      <w:r>
        <w:t xml:space="preserve"> </w:t>
      </w:r>
      <w:r>
        <w:t xml:space="preserve">confirming the clearance in the dedicated viral-clearance validation</w:t>
      </w:r>
      <w:r>
        <w:t xml:space="preserve"> </w:t>
      </w:r>
      <w:r>
        <w:t xml:space="preserve">(International Council for Harmonisation 2023a)</w:t>
      </w:r>
      <w:r>
        <w:t xml:space="preserve">.</w:t>
      </w:r>
    </w:p>
    <w:bookmarkEnd w:id="41"/>
    <w:bookmarkStart w:id="42" w:name="approvals-1"/>
    <w:p>
      <w:pPr>
        <w:pStyle w:val="Heading1"/>
      </w:pPr>
      <w:r>
        <w:t xml:space="preserve">12. Approvals</w:t>
      </w:r>
    </w:p>
    <w:p>
      <w:pPr>
        <w:pStyle w:val="FirstParagraph"/>
      </w:pPr>
      <w:r>
        <w:t xml:space="preserve">Approval of this plan authorizes execution of the characterization described herein.</w:t>
      </w:r>
      <w:r>
        <w:t xml:space="preserve"> </w:t>
      </w:r>
      <w:r>
        <w:t xml:space="preserve">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2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3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3"/>
    <w:bookmarkStart w:id="44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4"/>
    <w:bookmarkStart w:id="45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5"/>
    <w:bookmarkStart w:id="46" w:name="ref-ichq5a"/>
    <w:p>
      <w:pPr>
        <w:pStyle w:val="Bibliography"/>
      </w:pPr>
      <w:r>
        <w:t xml:space="preserve">International Council for Harmonisation. 2023a.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46"/>
    <w:bookmarkStart w:id="47" w:name="ref-ichq9"/>
    <w:p>
      <w:pPr>
        <w:pStyle w:val="Bibliography"/>
      </w:pPr>
      <w:r>
        <w:t xml:space="preserve">International Council for Harmonisation. 2023b.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7"/>
    <w:bookmarkStart w:id="48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8"/>
    <w:bookmarkStart w:id="49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9"/>
    <w:bookmarkStart w:id="50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50"/>
    <w:bookmarkEnd w:id="51"/>
    <w:p>
      <w:r>
        <w:br w:type="page"/>
      </w:r>
    </w:p>
    <w:bookmarkEnd w:id="52"/>
    <w:bookmarkStart w:id="54" w:name="appendix-a-planned-screening-design"/>
    <w:p>
      <w:pPr>
        <w:pStyle w:val="Heading1"/>
      </w:pPr>
      <w:r>
        <w:t xml:space="preserve">Appendix A — Planned screening design</w:t>
      </w:r>
    </w:p>
    <w:p>
      <w:pPr>
        <w:pStyle w:val="FirstParagraph"/>
      </w:pPr>
      <w:r>
        <w:t xml:space="preserve">Coded two-level full-factorial design (factors A–C per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; coded levels −1/0/+1).</w:t>
      </w:r>
      <w:r>
        <w:t xml:space="preserve"> </w:t>
      </w:r>
      <w:r>
        <w:t xml:space="preserve">Responses will be recorded at execution and reported in PCR-006.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Appendix A — planned screening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3"/>
          <w:p/>
        </w:tc>
      </w:tr>
    </w:tbl>
    <w:p>
      <w:r>
        <w:br w:type="page"/>
      </w:r>
    </w:p>
    <w:bookmarkEnd w:id="54"/>
    <w:bookmarkStart w:id="56" w:name="X3978fd0e1f4921f866c945eb6c5168c0afc9cb9"/>
    <w:p>
      <w:pPr>
        <w:pStyle w:val="Heading1"/>
      </w:pPr>
      <w:r>
        <w:t xml:space="preserve">Appendix B — Planned response-surface design</w:t>
      </w:r>
    </w:p>
    <w:p>
      <w:pPr>
        <w:pStyle w:val="FirstParagraph"/>
      </w:pPr>
      <w:r>
        <w:t xml:space="preserve">Coded face-centred central-composite design (factors A–C; coded levels −1/0/+1).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Appendix B — planned response-surface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5"/>
          <w:p/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2026-07-25T10:59:41Z</dcterms:created>
  <dcterms:modified xsi:type="dcterms:W3CDTF">2026-07-25T10:59:41Z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Low-pH Viral Inactivation (Step 6) — PCP-006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