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Process Characterization Plan</w:t>
      </w:r>
    </w:p>
    <w:p>
      <w:pPr>
        <w:pStyle w:val="Subtitle"/>
      </w:pPr>
      <w:r>
        <w:t xml:space="preserve">A-Mab Drug Substance — Cation Exchange Chromatography (Step 7) — PCP-007</w:t>
      </w:r>
    </w:p>
    <w:p>
      <w:pPr>
        <w:pStyle w:val="Author"/>
      </w:pPr>
      <w:r>
        <w:t xml:space="preserve">Process Development / Manufacturing Science &amp; Technology (MSAT)</w:t>
      </w:r>
    </w:p>
    <w:p>
      <w:pPr>
        <w:pStyle w:val="Date"/>
      </w:pPr>
      <w:r>
        <w:t xml:space="preserve">2026-07-24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5"/>
        <w:gridCol w:w="69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PCP-007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Characterization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Characterization Plan: Cation Exchange Chromatography (Step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A-Mab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(synthetic)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Science &amp; Technology (MSAT)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/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Novacyte Biologics; Novacyte Biologics — Cambridge, MA (Development) → Novacyte Biologics — Grafton, WI (Commercial DS)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SYNTHETIC DOCUMENT — NOT A REAL RECORD.</w:t>
      </w:r>
      <w:r>
        <w:t xml:space="preserve"> </w:t>
      </w:r>
      <w:r>
        <w:t xml:space="preserve">Illustrative content generated from a seeded model of the</w:t>
      </w:r>
      <w:r>
        <w:t xml:space="preserve"> </w:t>
      </w:r>
      <w:r>
        <w:rPr>
          <w:i/>
          <w:iCs/>
        </w:rPr>
        <w:t xml:space="preserve">A-Mab</w:t>
      </w:r>
      <w:r>
        <w:t xml:space="preserve"> </w:t>
      </w:r>
      <w:r>
        <w:t xml:space="preserve">case study (CMC Biotech Working Group, 2009). Novacyte Biologics and all sites, SOP/AMV numbers and signatories are fictional. For NLP corpus development only; not for any regulated use.</w:t>
      </w:r>
    </w:p>
    <w:bookmarkStart w:id="10" w:name="approvals"/>
    <w:p>
      <w:pPr>
        <w:pStyle w:val="Heading2"/>
      </w:pPr>
      <w:r>
        <w:t xml:space="preserve">Approvals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app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Approval record (synthetic; signatures not applied).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 (synthetic)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Signature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Author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Process Development / MSAT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Analytical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Manufacturing Science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Approver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Assurance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</w:tbl>
          <w:bookmarkEnd w:id="9"/>
          <w:p/>
        </w:tc>
      </w:tr>
    </w:tbl>
    <w:bookmarkEnd w:id="10"/>
    <w:bookmarkStart w:id="11" w:name="abbreviations"/>
    <w:p>
      <w:pPr>
        <w:pStyle w:val="Heading2"/>
      </w:pPr>
      <w:r>
        <w:t xml:space="preserve">Abbreviations</w:t>
      </w:r>
    </w:p>
    <w:p>
      <w:pPr>
        <w:pStyle w:val="FirstParagraph"/>
      </w:pPr>
      <w:r>
        <w:t xml:space="preserve">AEX, anion-exchange chromatography · ANOVA, analysis of variance · CCD,</w:t>
      </w:r>
      <w:r>
        <w:t xml:space="preserve"> </w:t>
      </w:r>
      <w:r>
        <w:t xml:space="preserve">central-composite design · CEX, cation-exchange chromatography · CPP, critical</w:t>
      </w:r>
      <w:r>
        <w:t xml:space="preserve"> </w:t>
      </w:r>
      <w:r>
        <w:t xml:space="preserve">process parameter · CQA, critical quality attribute · CV, column volume · DoE,</w:t>
      </w:r>
      <w:r>
        <w:t xml:space="preserve"> </w:t>
      </w:r>
      <w:r>
        <w:t xml:space="preserve">design of experiments · DS, drug substance · ELISA, enzyme-linked immunosorbent</w:t>
      </w:r>
      <w:r>
        <w:t xml:space="preserve"> </w:t>
      </w:r>
      <w:r>
        <w:t xml:space="preserve">assay · GPP, general process parameter · HCP, host-cell protein · HMW,</w:t>
      </w:r>
      <w:r>
        <w:t xml:space="preserve"> </w:t>
      </w:r>
      <w:r>
        <w:t xml:space="preserve">high-molecular-weight (aggregate) · ICH, International Council for Harmonisation ·</w:t>
      </w:r>
      <w:r>
        <w:t xml:space="preserve"> </w:t>
      </w:r>
      <w:r>
        <w:t xml:space="preserve">KPP, key process parameter · MSAT, Manufacturing Science and Technology · NOR,</w:t>
      </w:r>
      <w:r>
        <w:t xml:space="preserve"> </w:t>
      </w:r>
      <w:r>
        <w:t xml:space="preserve">normal operating range · PAR, proven acceptable range · PPQ, process performance</w:t>
      </w:r>
      <w:r>
        <w:t xml:space="preserve"> </w:t>
      </w:r>
      <w:r>
        <w:t xml:space="preserve">qualification · QbD, Quality by Design · RRF, risk ranking and filtering · RSM,</w:t>
      </w:r>
      <w:r>
        <w:t xml:space="preserve"> </w:t>
      </w:r>
      <w:r>
        <w:t xml:space="preserve">response-surface methodology · SDM, scale-down model · SEC, size-exclusion</w:t>
      </w:r>
      <w:r>
        <w:t xml:space="preserve"> </w:t>
      </w:r>
      <w:r>
        <w:t xml:space="preserve">chromatography · WC-CPP, well-controlled CPP.</w:t>
      </w:r>
    </w:p>
    <w:p>
      <w:r>
        <w:br w:type="page"/>
      </w:r>
    </w:p>
    <w:bookmarkEnd w:id="11"/>
    <w:bookmarkStart w:id="12" w:name="purpose-and-scope"/>
    <w:p>
      <w:pPr>
        <w:pStyle w:val="Heading1"/>
      </w:pPr>
      <w:r>
        <w:t xml:space="preserve">1. Purpose and scope</w:t>
      </w:r>
    </w:p>
    <w:p>
      <w:pPr>
        <w:pStyle w:val="FirstParagraph"/>
      </w:pPr>
      <w:r>
        <w:t xml:space="preserve">This Process Characterization Plan (</w:t>
      </w:r>
      <w:r>
        <w:rPr>
          <w:b/>
          <w:bCs/>
        </w:rPr>
        <w:t xml:space="preserve">PCP-007</w:t>
      </w:r>
      <w:r>
        <w:t xml:space="preserve">) defines the Stage 1 (Process Design)</w:t>
      </w:r>
      <w:r>
        <w:t xml:space="preserve"> </w:t>
      </w:r>
      <w:r>
        <w:t xml:space="preserve">characterization of the A-Mab cation-exchange (CEX) polishing chromatography step</w:t>
      </w:r>
      <w:r>
        <w:t xml:space="preserve"> </w:t>
      </w:r>
      <w:r>
        <w:t xml:space="preserve">(Step 7), the bind-and-elute polishing operation that follows low-pH viral</w:t>
      </w:r>
      <w:r>
        <w:t xml:space="preserve"> </w:t>
      </w:r>
      <w:r>
        <w:t xml:space="preserve">inactivation. CEX is the</w:t>
      </w:r>
      <w:r>
        <w:t xml:space="preserve"> </w:t>
      </w:r>
      <w:r>
        <w:rPr>
          <w:b/>
          <w:bCs/>
        </w:rPr>
        <w:t xml:space="preserve">principal aggregate-reduction (polish) step</w:t>
      </w:r>
      <w:r>
        <w:t xml:space="preserve"> </w:t>
      </w:r>
      <w:r>
        <w:t xml:space="preserve">of the</w:t>
      </w:r>
      <w:r>
        <w:t xml:space="preserve"> </w:t>
      </w:r>
      <w:r>
        <w:t xml:space="preserve">purification train — the only step that actively reduces high-molecular-weight</w:t>
      </w:r>
      <w:r>
        <w:t xml:space="preserve"> </w:t>
      </w:r>
      <w:r>
        <w:t xml:space="preserve">aggregate — and provides a major further reduction of host-cell protein (HCP), and</w:t>
      </w:r>
      <w:r>
        <w:t xml:space="preserve"> </w:t>
      </w:r>
      <w:r>
        <w:t xml:space="preserve">modular clearance of residual DNA and leached Protein A. The plan specifies the</w:t>
      </w:r>
      <w:r>
        <w:t xml:space="preserve"> </w:t>
      </w:r>
      <w:r>
        <w:t xml:space="preserve">objectives, the attributes in scope, the process parameters and ranges to be</w:t>
      </w:r>
      <w:r>
        <w:t xml:space="preserve"> </w:t>
      </w:r>
      <w:r>
        <w:t xml:space="preserve">characterized, the experimental designs, the analytical methods, the sampling plan,</w:t>
      </w:r>
      <w:r>
        <w:t xml:space="preserve"> </w:t>
      </w:r>
      <w:r>
        <w:t xml:space="preserve">the statistical-analysis approach, and the acceptance and decision criteria by which</w:t>
      </w:r>
      <w:r>
        <w:t xml:space="preserve"> </w:t>
      </w:r>
      <w:r>
        <w:t xml:space="preserve">each parameter will be classified and a multivariate operating region established.</w:t>
      </w:r>
    </w:p>
    <w:p>
      <w:pPr>
        <w:pStyle w:val="BodyText"/>
      </w:pPr>
      <w:r>
        <w:rPr>
          <w:b/>
          <w:bCs/>
        </w:rPr>
        <w:t xml:space="preserve">Scope.</w:t>
      </w:r>
      <w:r>
        <w:t xml:space="preserve"> </w:t>
      </w:r>
      <w:r>
        <w:t xml:space="preserve">The commercial-scale cation-exchange polishing step, characterized on a</w:t>
      </w:r>
      <w:r>
        <w:t xml:space="preserve"> </w:t>
      </w:r>
      <w:r>
        <w:t xml:space="preserve">qualified scale-down chromatography column. The upstream low-pH viral-inactivation step</w:t>
      </w:r>
      <w:r>
        <w:t xml:space="preserve"> </w:t>
      </w:r>
      <w:r>
        <w:t xml:space="preserve">(Step 6), which defines the feed to this step, and the downstream anion-exchange step</w:t>
      </w:r>
      <w:r>
        <w:t xml:space="preserve"> </w:t>
      </w:r>
      <w:r>
        <w:t xml:space="preserve">(Step 8), which provides the subsequent polish, are addressed only where they define the</w:t>
      </w:r>
      <w:r>
        <w:t xml:space="preserve"> </w:t>
      </w:r>
      <w:r>
        <w:t xml:space="preserve">feed to, or clear the impurity load from, this step; their characterization is out of</w:t>
      </w:r>
      <w:r>
        <w:t xml:space="preserve"> </w:t>
      </w:r>
      <w:r>
        <w:t xml:space="preserve">scope. This plan governs execution only — the results are reported in the paired Process</w:t>
      </w:r>
      <w:r>
        <w:t xml:space="preserve"> </w:t>
      </w:r>
      <w:r>
        <w:t xml:space="preserve">Characterization Report (</w:t>
      </w:r>
      <w:r>
        <w:rPr>
          <w:b/>
          <w:bCs/>
        </w:rPr>
        <w:t xml:space="preserve">PCR-007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Basis.</w:t>
      </w:r>
      <w:r>
        <w:t xml:space="preserve"> </w:t>
      </w:r>
      <w:r>
        <w:t xml:space="preserve">The unit-operation model, quality-attribute framework and risk methodology</w:t>
      </w:r>
      <w:r>
        <w:t xml:space="preserve"> </w:t>
      </w:r>
      <w:r>
        <w:t xml:space="preserve">follow the A-Mab case study</w:t>
      </w:r>
      <w:r>
        <w:t xml:space="preserve"> </w:t>
      </w:r>
      <w:r>
        <w:t xml:space="preserve">(CMC Biotech Working Group 2009)</w:t>
      </w:r>
      <w:r>
        <w:t xml:space="preserve">; the Stage 1 approach and report structure</w:t>
      </w:r>
      <w:r>
        <w:t xml:space="preserve"> </w:t>
      </w:r>
      <w:r>
        <w:t xml:space="preserve">follow PDA TR 60</w:t>
      </w:r>
      <w:r>
        <w:t xml:space="preserve"> </w:t>
      </w:r>
      <w:r>
        <w:t xml:space="preserve">(Parenteral Drug Association 2013)</w:t>
      </w:r>
      <w:r>
        <w:t xml:space="preserve"> </w:t>
      </w:r>
      <w:r>
        <w:t xml:space="preserve">and the ISPE Good Practice Guide</w:t>
      </w:r>
      <w:r>
        <w:t xml:space="preserve"> </w:t>
      </w:r>
      <w:r>
        <w:t xml:space="preserve">(International Society for Pharmaceutical Engineering 2023)</w:t>
      </w:r>
      <w:r>
        <w:t xml:space="preserve">; the QbD</w:t>
      </w:r>
      <w:r>
        <w:t xml:space="preserve"> </w:t>
      </w:r>
      <w:r>
        <w:t xml:space="preserve">framework follows ICH Q8, Q9 and Q11</w:t>
      </w:r>
      <w:r>
        <w:t xml:space="preserve"> </w:t>
      </w:r>
      <w:r>
        <w:t xml:space="preserve">(International Council for Harmonisation 2009, 2023, 2012)</w:t>
      </w:r>
      <w:r>
        <w:t xml:space="preserve"> </w:t>
      </w:r>
      <w:r>
        <w:t xml:space="preserve">and the lifecycle</w:t>
      </w:r>
      <w:r>
        <w:t xml:space="preserve"> </w:t>
      </w:r>
      <w:r>
        <w:t xml:space="preserve">approach of the FDA 2011 guidance</w:t>
      </w:r>
      <w:r>
        <w:t xml:space="preserve"> </w:t>
      </w:r>
      <w:r>
        <w:t xml:space="preserve">(U.S. Food and Drug Administration 2011)</w:t>
      </w:r>
      <w:r>
        <w:t xml:space="preserve">.</w:t>
      </w:r>
    </w:p>
    <w:bookmarkEnd w:id="12"/>
    <w:bookmarkStart w:id="13" w:name="objectives"/>
    <w:p>
      <w:pPr>
        <w:pStyle w:val="Heading1"/>
      </w:pPr>
      <w:r>
        <w:t xml:space="preserve">2. Objectives</w:t>
      </w:r>
    </w:p>
    <w:p>
      <w:pPr>
        <w:pStyle w:val="FirstParagraph"/>
      </w:pPr>
      <w:r>
        <w:t xml:space="preserve">The characterization will:</w:t>
      </w:r>
    </w:p>
    <w:p>
      <w:pPr>
        <w:pStyle w:val="Compact"/>
        <w:numPr>
          <w:ilvl w:val="0"/>
          <w:numId w:val="1001"/>
        </w:numPr>
      </w:pPr>
      <w:r>
        <w:t xml:space="preserve">establish the quantitative relationships between the cation-exchange process</w:t>
      </w:r>
      <w:r>
        <w:t xml:space="preserve"> </w:t>
      </w:r>
      <w:r>
        <w:t xml:space="preserve">parameters and the eluate-pool aggregate, the eluate-pool HCP and the step yield;</w:t>
      </w:r>
    </w:p>
    <w:p>
      <w:pPr>
        <w:pStyle w:val="Compact"/>
        <w:numPr>
          <w:ilvl w:val="0"/>
          <w:numId w:val="1001"/>
        </w:numPr>
      </w:pPr>
      <w:r>
        <w:t xml:space="preserve">identify the significant main effects, two-factor interactions and curvature,</w:t>
      </w:r>
      <w:r>
        <w:t xml:space="preserve"> </w:t>
      </w:r>
      <w:r>
        <w:t xml:space="preserve">including the anticipated protein-load × wash-conductivity interaction that governs</w:t>
      </w:r>
      <w:r>
        <w:t xml:space="preserve"> </w:t>
      </w:r>
      <w:r>
        <w:t xml:space="preserve">HCP clearance;</w:t>
      </w:r>
    </w:p>
    <w:p>
      <w:pPr>
        <w:pStyle w:val="Compact"/>
        <w:numPr>
          <w:ilvl w:val="0"/>
          <w:numId w:val="1001"/>
        </w:numPr>
      </w:pPr>
      <w:r>
        <w:t xml:space="preserve">define the multivariate operating region over which the eluate-pool aggregate and HCP</w:t>
      </w:r>
      <w:r>
        <w:t xml:space="preserve"> </w:t>
      </w:r>
      <w:r>
        <w:t xml:space="preserve">presented to the anion-exchange step are controlled;</w:t>
      </w:r>
    </w:p>
    <w:p>
      <w:pPr>
        <w:pStyle w:val="Compact"/>
        <w:numPr>
          <w:ilvl w:val="0"/>
          <w:numId w:val="1001"/>
        </w:numPr>
      </w:pPr>
      <w:r>
        <w:t xml:space="preserve">establish proven acceptable ranges (PARs) and confirm normal operating ranges</w:t>
      </w:r>
      <w:r>
        <w:t xml:space="preserve"> </w:t>
      </w:r>
      <w:r>
        <w:t xml:space="preserve">(NORs) for each parameter;</w:t>
      </w:r>
    </w:p>
    <w:p>
      <w:pPr>
        <w:pStyle w:val="Compact"/>
        <w:numPr>
          <w:ilvl w:val="0"/>
          <w:numId w:val="1001"/>
        </w:numPr>
      </w:pPr>
      <w:r>
        <w:t xml:space="preserve">classify each parameter for its risk of impact to CQAs and to process performance</w:t>
      </w:r>
      <w:r>
        <w:t xml:space="preserve"> </w:t>
      </w:r>
      <w:r>
        <w:t xml:space="preserve">(CPP / WC-CPP / KPP / GPP); and</w:t>
      </w:r>
    </w:p>
    <w:p>
      <w:pPr>
        <w:pStyle w:val="Compact"/>
        <w:numPr>
          <w:ilvl w:val="0"/>
          <w:numId w:val="1001"/>
        </w:numPr>
      </w:pPr>
      <w:r>
        <w:t xml:space="preserve">provide the process understanding and ranges that justify the Stage 2 operating</w:t>
      </w:r>
      <w:r>
        <w:t xml:space="preserve"> </w:t>
      </w:r>
      <w:r>
        <w:t xml:space="preserve">conditions and the drug-substance control strategy.</w:t>
      </w:r>
    </w:p>
    <w:bookmarkEnd w:id="13"/>
    <w:bookmarkStart w:id="16" w:name="related-documents"/>
    <w:p>
      <w:pPr>
        <w:pStyle w:val="Heading1"/>
      </w:pPr>
      <w:r>
        <w:t xml:space="preserve">3. Related documents</w:t>
      </w:r>
    </w:p>
    <w:p>
      <w:pPr>
        <w:pStyle w:val="FirstParagraph"/>
      </w:pPr>
      <w:r>
        <w:t xml:space="preserve">This plan is executed under the master documents below and is paired with its report;</w:t>
      </w:r>
      <w:r>
        <w:t xml:space="preserve"> </w:t>
      </w:r>
      <w:r>
        <w:t xml:space="preserve">the full package is cross-referenced for traceability.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re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Related documents in the A-Mab process-characterization package.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35"/>
              <w:gridCol w:w="4677"/>
              <w:gridCol w:w="230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Document 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Relationship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PTP-001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Transfer Plan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transfer scope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Pre-Characterization Process Risk Assessment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risk basis for study scope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PCMP-001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Master Plan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master plan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 (Cation Exchange Chromatography (Step 7))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Sibling — paired document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PCMR-001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Master Report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Rolls up into</w:t>
                  </w:r>
                </w:p>
              </w:tc>
            </w:tr>
          </w:tbl>
          <w:bookmarkEnd w:id="14"/>
          <w:p/>
        </w:tc>
      </w:tr>
    </w:tbl>
    <w:p>
      <w:pPr>
        <w:pStyle w:val="BodyText"/>
      </w:pPr>
      <w:r>
        <w:t xml:space="preserve">The governing procedures and validated analytical methods referenced by this plan are</w:t>
      </w:r>
      <w:r>
        <w:t xml:space="preserve"> </w:t>
      </w:r>
      <w:r>
        <w:t xml:space="preserve">listed in</w:t>
      </w:r>
      <w:r>
        <w:t xml:space="preserve"> </w:t>
      </w:r>
      <w:hyperlink w:anchor="tbl-sop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(numbers are placeholders in this synthetic set).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so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Referenced standard operating procedures and analytical method validations.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50"/>
              <w:gridCol w:w="5333"/>
              <w:gridCol w:w="153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Reference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SOP-1001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Qualification of Scale-Down Models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SOP-1002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Design, Execution and Statistical Analysis of DoE Studies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SOP-2010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Operation of the Cation-Exchange Polishing Chromatography 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SOP-2008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Chromatography Resin Life-Cycle, Packing and Sanitization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SOP-4001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Process-Parameter Classification and Control-Strategy Definition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Size-Variants (SEC-HPLC)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Host-Cell Protein ELISA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 (qPCR)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 by ELISA (ppm)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</w:tbl>
          <w:bookmarkEnd w:id="15"/>
          <w:p/>
        </w:tc>
      </w:tr>
    </w:tbl>
    <w:bookmarkEnd w:id="16"/>
    <w:bookmarkStart w:id="21" w:name="prior-knowledge-and-quality-risk-basis"/>
    <w:p>
      <w:pPr>
        <w:pStyle w:val="Heading1"/>
      </w:pPr>
      <w:r>
        <w:t xml:space="preserve">4. Prior knowledge and quality risk basis</w:t>
      </w:r>
    </w:p>
    <w:bookmarkStart w:id="17" w:name="Xfc9d08e28ad3e20206826e1b5e1507b6461f659"/>
    <w:p>
      <w:pPr>
        <w:pStyle w:val="Heading2"/>
      </w:pPr>
      <w:r>
        <w:t xml:space="preserve">4.1 Unit-operation description and prior knowledge</w:t>
      </w:r>
    </w:p>
    <w:p>
      <w:pPr>
        <w:pStyle w:val="FirstParagraph"/>
      </w:pPr>
      <w:r>
        <w:t xml:space="preserve">Cation-exchange chromatography is the first polishing step of the A-Mab purification</w:t>
      </w:r>
      <w:r>
        <w:t xml:space="preserve"> </w:t>
      </w:r>
      <w:r>
        <w:t xml:space="preserve">train: the neutralized viral-inactivation pool is loaded onto a strong cation-exchange</w:t>
      </w:r>
      <w:r>
        <w:t xml:space="preserve"> </w:t>
      </w:r>
      <w:r>
        <w:t xml:space="preserve">resin at controlled conductivity, weakly bound impurities are removed in the wash, and</w:t>
      </w:r>
      <w:r>
        <w:t xml:space="preserve"> </w:t>
      </w:r>
      <w:r>
        <w:t xml:space="preserve">the product is recovered by an ascending-pH (or ascending-salt) elution, with the eluate</w:t>
      </w:r>
      <w:r>
        <w:t xml:space="preserve"> </w:t>
      </w:r>
      <w:r>
        <w:t xml:space="preserve">pool collected between defined start and stop criteria</w:t>
      </w:r>
      <w:r>
        <w:t xml:space="preserve"> </w:t>
      </w:r>
      <w:r>
        <w:t xml:space="preserve">(CMC Biotech Working Group 2009)</w:t>
      </w:r>
      <w:r>
        <w:t xml:space="preserve">. Unlike the upstream</w:t>
      </w:r>
      <w:r>
        <w:t xml:space="preserve"> </w:t>
      </w:r>
      <w:r>
        <w:t xml:space="preserve">operations it forms no new product-quality CQA; its role in the control strategy is to</w:t>
      </w:r>
      <w:r>
        <w:t xml:space="preserve"> </w:t>
      </w:r>
      <w:r>
        <w:rPr>
          <w:b/>
          <w:bCs/>
        </w:rPr>
        <w:t xml:space="preserve">reduce the high-molecular-weight aggregate</w:t>
      </w:r>
      <w:r>
        <w:t xml:space="preserve"> </w:t>
      </w:r>
      <w:r>
        <w:t xml:space="preserve">carried into the pool — including the</w:t>
      </w:r>
      <w:r>
        <w:t xml:space="preserve"> </w:t>
      </w:r>
      <w:r>
        <w:t xml:space="preserve">aggregate that can arise during the upstream low-pH hold — and to provide a major further</w:t>
      </w:r>
      <w:r>
        <w:t xml:space="preserve"> </w:t>
      </w:r>
      <w:r>
        <w:t xml:space="preserve">reduction of HCP and modular clearance of residual DNA and leached Protein A. Platform</w:t>
      </w:r>
      <w:r>
        <w:t xml:space="preserve"> </w:t>
      </w:r>
      <w:r>
        <w:t xml:space="preserve">knowledge established that aggregate, being more highly charged and more strongly</w:t>
      </w:r>
      <w:r>
        <w:t xml:space="preserve"> </w:t>
      </w:r>
      <w:r>
        <w:t xml:space="preserve">retained, is separated from monomer in the elution so that the pool aggregate rises with</w:t>
      </w:r>
      <w:r>
        <w:t xml:space="preserve"> </w:t>
      </w:r>
      <w:r>
        <w:t xml:space="preserve">higher protein load and as the elution pool is extended further down the descending edge</w:t>
      </w:r>
      <w:r>
        <w:t xml:space="preserve"> </w:t>
      </w:r>
      <w:r>
        <w:t xml:space="preserve">(a higher stop-collect) and at higher elution pH; that HCP clearance is governed by the</w:t>
      </w:r>
      <w:r>
        <w:t xml:space="preserve"> </w:t>
      </w:r>
      <w:r>
        <w:t xml:space="preserve">load/wash conductivity — a higher conductivity strips more weakly bound HCP before</w:t>
      </w:r>
      <w:r>
        <w:t xml:space="preserve"> </w:t>
      </w:r>
      <w:r>
        <w:t xml:space="preserve">elution — and falls at high load, the two acting together through a load × conductivity</w:t>
      </w:r>
      <w:r>
        <w:t xml:space="preserve"> </w:t>
      </w:r>
      <w:r>
        <w:t xml:space="preserve">interaction; and that recovery declines modestly at high load. This knowledge frames the</w:t>
      </w:r>
      <w:r>
        <w:t xml:space="preserve"> </w:t>
      </w:r>
      <w:r>
        <w:t xml:space="preserve">attributes in scope and the prioritization of parameters for characterization.</w:t>
      </w:r>
    </w:p>
    <w:bookmarkEnd w:id="17"/>
    <w:bookmarkStart w:id="19" w:name="quality-attributes-in-scope"/>
    <w:p>
      <w:pPr>
        <w:pStyle w:val="Heading2"/>
      </w:pPr>
      <w:r>
        <w:t xml:space="preserve">4.2 Quality attributes in scope</w:t>
      </w:r>
    </w:p>
    <w:p>
      <w:pPr>
        <w:pStyle w:val="FirstParagraph"/>
      </w:pPr>
      <w:r>
        <w:t xml:space="preserve">Cation exchange introduces no CQA. It is the principal reduction step for the</w:t>
      </w:r>
      <w:r>
        <w:t xml:space="preserve"> </w:t>
      </w:r>
      <w:r>
        <w:t xml:space="preserve">high-molecular-weight aggregate and a major clearance step for the impurity CQAs formed</w:t>
      </w:r>
      <w:r>
        <w:t xml:space="preserve"> </w:t>
      </w:r>
      <w:r>
        <w:t xml:space="preserve">upstream and specified at the drug substance (</w:t>
      </w:r>
      <w:hyperlink w:anchor="tbl-cqa">
        <w:r>
          <w:rPr>
            <w:rStyle w:val="Hyperlink"/>
          </w:rPr>
          <w:t xml:space="preserve">Table 4</w:t>
        </w:r>
      </w:hyperlink>
      <w:r>
        <w:t xml:space="preserve">). Criticality is scored on the</w:t>
      </w:r>
      <w:r>
        <w:t xml:space="preserve"> </w:t>
      </w:r>
      <w:r>
        <w:t xml:space="preserve">A-Mab continuum using Tool #1 (Risk Score = Impact × Uncertainty); attributes rated High</w:t>
      </w:r>
      <w:r>
        <w:t xml:space="preserve"> </w:t>
      </w:r>
      <w:r>
        <w:t xml:space="preserve">(H) or Very High (VH) are treated as</w:t>
      </w:r>
      <w:r>
        <w:t xml:space="preserve"> </w:t>
      </w:r>
      <w:r>
        <w:rPr>
          <w:i/>
          <w:iCs/>
        </w:rPr>
        <w:t xml:space="preserve">Critical</w:t>
      </w:r>
      <w:r>
        <w:t xml:space="preserve"> </w:t>
      </w:r>
      <w:r>
        <w:t xml:space="preserve">(CMC Biotech Working Group 2009; International Council for Harmonisation 2023)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cq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CQAs controlled by the cation-exchange step (formed upstream; polished/cleared here), with acceptance criterion and criticality (Tool #1 = Impact × Uncertainty).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02"/>
              <w:gridCol w:w="1657"/>
              <w:gridCol w:w="1565"/>
              <w:gridCol w:w="1381"/>
              <w:gridCol w:w="101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Acceptance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Criticality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Tool #1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 variant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0–5 % HMW (SEC)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0–100 ng/mg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M-H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0–0.001 ng/dose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 ppm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L-M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eluate-pool aggregate and eluate-pool HCP are not themselves released specifications;</w:t>
      </w:r>
      <w:r>
        <w:t xml:space="preserve"> </w:t>
      </w:r>
      <w:r>
        <w:t xml:space="preserve">they are in-process attributes whose control at this step determines the size-variant and</w:t>
      </w:r>
      <w:r>
        <w:t xml:space="preserve"> </w:t>
      </w:r>
      <w:r>
        <w:t xml:space="preserve">impurity load presented to the anion-exchange step and therefore the margin to the</w:t>
      </w:r>
      <w:r>
        <w:t xml:space="preserve"> </w:t>
      </w:r>
      <w:r>
        <w:t xml:space="preserve">≤ 5% HMW aggregate and ≤ 100 ng/mg HCP</w:t>
      </w:r>
      <w:r>
        <w:t xml:space="preserve"> </w:t>
      </w:r>
      <w:r>
        <w:t xml:space="preserve">drug-substance limits. Because aggregate can be elevated in the incoming pool, the study</w:t>
      </w:r>
      <w:r>
        <w:t xml:space="preserve"> </w:t>
      </w:r>
      <w:r>
        <w:t xml:space="preserve">is designed to demonstrate the aggregate-clearance capacity of the step against a</w:t>
      </w:r>
      <w:r>
        <w:t xml:space="preserve"> </w:t>
      </w:r>
      <w:r>
        <w:t xml:space="preserve">representative, deliberately challenging aggregate feed; pool aggregate is the primary</w:t>
      </w:r>
      <w:r>
        <w:t xml:space="preserve"> </w:t>
      </w:r>
      <w:r>
        <w:t xml:space="preserve">response of the study.</w:t>
      </w:r>
    </w:p>
    <w:bookmarkEnd w:id="19"/>
    <w:bookmarkStart w:id="20" w:name="risk-based-prioritization-of-parameters"/>
    <w:p>
      <w:pPr>
        <w:pStyle w:val="Heading2"/>
      </w:pPr>
      <w:r>
        <w:t xml:space="preserve">4.3 Risk-based prioritization of parameters</w:t>
      </w:r>
    </w:p>
    <w:p>
      <w:pPr>
        <w:pStyle w:val="FirstParagraph"/>
      </w:pPr>
      <w:r>
        <w:t xml:space="preserve">Consistent with the A-Mab lifecycle of iterative risk assessments and the risk flow of</w:t>
      </w:r>
      <w:r>
        <w:t xml:space="preserve"> </w:t>
      </w:r>
      <w:r>
        <w:t xml:space="preserve">PDA TR 60, the study scope is set by the Pre-Characterization Process Risk Assessment</w:t>
      </w:r>
      <w:r>
        <w:t xml:space="preserve"> </w:t>
      </w:r>
      <w:r>
        <w:t xml:space="preserve">(</w:t>
      </w:r>
      <w:r>
        <w:rPr>
          <w:b/>
          <w:bCs/>
        </w:rPr>
        <w:t xml:space="preserve">RA-001</w:t>
      </w:r>
      <w:r>
        <w:t xml:space="preserve">). A risk-ranking-and-filtering (RRF) screen scores each parameter for its</w:t>
      </w:r>
      <w:r>
        <w:t xml:space="preserve"> </w:t>
      </w:r>
      <w:r>
        <w:t xml:space="preserve">potential main-effect and interaction impact and assigns the study type accordingly:</w:t>
      </w:r>
      <w:r>
        <w:t xml:space="preserve"> </w:t>
      </w:r>
      <w:r>
        <w:t xml:space="preserve">protein load, load/wash conductivity, elution pH and the elution stop-collect — which</w:t>
      </w:r>
      <w:r>
        <w:t xml:space="preserve"> </w:t>
      </w:r>
      <w:r>
        <w:t xml:space="preserve">carry a credible main-effect and interaction risk to the eluate-pool aggregate or HCP —</w:t>
      </w:r>
      <w:r>
        <w:t xml:space="preserve"> </w:t>
      </w:r>
      <w:r>
        <w:t xml:space="preserve">are studied in the multivariate DoE; the elution flow rate, expected to affect only</w:t>
      </w:r>
      <w:r>
        <w:t xml:space="preserve"> </w:t>
      </w:r>
      <w:r>
        <w:t xml:space="preserve">process performance over a wide range, is studied univariately</w:t>
      </w:r>
      <w:r>
        <w:t xml:space="preserve"> </w:t>
      </w:r>
      <w:r>
        <w:t xml:space="preserve">(CMC Biotech Working Group 2009)</w:t>
      </w:r>
      <w:r>
        <w:t xml:space="preserve">. The resulting</w:t>
      </w:r>
      <w:r>
        <w:t xml:space="preserve"> </w:t>
      </w:r>
      <w:r>
        <w:t xml:space="preserve">parameter set and study-type assignment are given in</w:t>
      </w:r>
      <w:r>
        <w:t xml:space="preserve"> </w:t>
      </w:r>
      <w:hyperlink w:anchor="tbl-param">
        <w:r>
          <w:rPr>
            <w:rStyle w:val="Hyperlink"/>
          </w:rPr>
          <w:t xml:space="preserve">Table 6</w:t>
        </w:r>
      </w:hyperlink>
      <w:r>
        <w:t xml:space="preserve">.</w:t>
      </w:r>
    </w:p>
    <w:bookmarkEnd w:id="20"/>
    <w:bookmarkEnd w:id="21"/>
    <w:bookmarkStart w:id="28" w:name="materials-and-methods"/>
    <w:p>
      <w:pPr>
        <w:pStyle w:val="Heading1"/>
      </w:pPr>
      <w:r>
        <w:t xml:space="preserve">5. Materials and methods</w:t>
      </w:r>
    </w:p>
    <w:bookmarkStart w:id="22" w:name="scale-down-model-and-its-qualification"/>
    <w:p>
      <w:pPr>
        <w:pStyle w:val="Heading2"/>
      </w:pPr>
      <w:r>
        <w:t xml:space="preserve">5.1 Scale-down model and its qualification</w:t>
      </w:r>
    </w:p>
    <w:p>
      <w:pPr>
        <w:pStyle w:val="FirstParagraph"/>
      </w:pPr>
      <w:r>
        <w:t xml:space="preserve">Characterization will be performed on a scale-down cation-exchange column operated at the</w:t>
      </w:r>
      <w:r>
        <w:t xml:space="preserve"> </w:t>
      </w:r>
      <w:r>
        <w:t xml:space="preserve">commercial-process equivalents for resin, bed height, residence time, buffer system, load</w:t>
      </w:r>
      <w:r>
        <w:t xml:space="preserve"> </w:t>
      </w:r>
      <w:r>
        <w:t xml:space="preserve">ratio and elution strategy (</w:t>
      </w:r>
      <w:r>
        <w:rPr>
          <w:b/>
          <w:bCs/>
        </w:rPr>
        <w:t xml:space="preserve">SOP-2010</w:t>
      </w:r>
      <w:r>
        <w:t xml:space="preserve">,</w:t>
      </w:r>
      <w:r>
        <w:t xml:space="preserve"> </w:t>
      </w:r>
      <w:r>
        <w:rPr>
          <w:b/>
          <w:bCs/>
        </w:rPr>
        <w:t xml:space="preserve">SOP-2008</w:t>
      </w:r>
      <w:r>
        <w:t xml:space="preserve">). Prior to characterization the</w:t>
      </w:r>
      <w:r>
        <w:t xml:space="preserve"> </w:t>
      </w:r>
      <w:r>
        <w:t xml:space="preserve">SDM will be qualified against at-scale reference data (</w:t>
      </w:r>
      <w:r>
        <w:rPr>
          <w:b/>
          <w:bCs/>
        </w:rPr>
        <w:t xml:space="preserve">SOP-1001</w:t>
      </w:r>
      <w:r>
        <w:t xml:space="preserve">) by comparing the</w:t>
      </w:r>
      <w:r>
        <w:t xml:space="preserve"> </w:t>
      </w:r>
      <w:r>
        <w:t xml:space="preserve">operational parameters and, critically, the input and output attributes — step yield,</w:t>
      </w:r>
      <w:r>
        <w:t xml:space="preserve"> </w:t>
      </w:r>
      <w:r>
        <w:t xml:space="preserve">eluate-pool aggregate and HCP, residual DNA and leached Protein A — to confirm the model</w:t>
      </w:r>
      <w:r>
        <w:t xml:space="preserve"> </w:t>
      </w:r>
      <w:r>
        <w:t xml:space="preserve">is representative and suitable to support operating-range and PAR claims</w:t>
      </w:r>
      <w:r>
        <w:t xml:space="preserve"> </w:t>
      </w:r>
      <w:r>
        <w:t xml:space="preserve">(Parenteral Drug Association 2013)</w:t>
      </w:r>
      <w:r>
        <w:t xml:space="preserve">. The</w:t>
      </w:r>
      <w:r>
        <w:t xml:space="preserve"> </w:t>
      </w:r>
      <w:r>
        <w:t xml:space="preserve">centre-point replicates of each design provide an in-study estimate of model</w:t>
      </w:r>
      <w:r>
        <w:t xml:space="preserve"> </w:t>
      </w:r>
      <w:r>
        <w:t xml:space="preserve">reproducibility (pure error) used in the lack-of-fit assessment.</w:t>
      </w:r>
    </w:p>
    <w:bookmarkEnd w:id="22"/>
    <w:bookmarkStart w:id="23" w:name="operation"/>
    <w:p>
      <w:pPr>
        <w:pStyle w:val="Heading2"/>
      </w:pPr>
      <w:r>
        <w:t xml:space="preserve">5.2 Operation</w:t>
      </w:r>
    </w:p>
    <w:p>
      <w:pPr>
        <w:pStyle w:val="FirstParagraph"/>
      </w:pPr>
      <w:r>
        <w:t xml:space="preserve">The neutralized viral-inactivation pool is conditioned to the target load conductivity</w:t>
      </w:r>
      <w:r>
        <w:t xml:space="preserve"> </w:t>
      </w:r>
      <w:r>
        <w:t xml:space="preserve">and loaded onto the equilibrated cation-exchange column to the target load ratio; the</w:t>
      </w:r>
      <w:r>
        <w:t xml:space="preserve"> </w:t>
      </w:r>
      <w:r>
        <w:t xml:space="preserve">column is washed at the load/wash conductivity to remove weakly bound host-cell protein</w:t>
      </w:r>
      <w:r>
        <w:t xml:space="preserve"> </w:t>
      </w:r>
      <w:r>
        <w:t xml:space="preserve">and other impurities; and the product is recovered by elution, with the eluate pool</w:t>
      </w:r>
      <w:r>
        <w:t xml:space="preserve"> </w:t>
      </w:r>
      <w:r>
        <w:t xml:space="preserve">collected from a defined start until the descending-edge stop-collect criterion. Buffers,</w:t>
      </w:r>
      <w:r>
        <w:t xml:space="preserve"> </w:t>
      </w:r>
      <w:r>
        <w:t xml:space="preserve">resin lot and column packing are controlled to platform specifications (</w:t>
      </w:r>
      <w:r>
        <w:rPr>
          <w:b/>
          <w:bCs/>
        </w:rPr>
        <w:t xml:space="preserve">SOP-2008</w:t>
      </w:r>
      <w:r>
        <w:t xml:space="preserve">) and</w:t>
      </w:r>
      <w:r>
        <w:t xml:space="preserve"> </w:t>
      </w:r>
      <w:r>
        <w:t xml:space="preserve">are treated as identity/quality-controlled inputs rather than characterized variables</w:t>
      </w:r>
      <w:r>
        <w:t xml:space="preserve"> </w:t>
      </w:r>
      <w:r>
        <w:t xml:space="preserve">(CMC Biotech Working Group 2009)</w:t>
      </w:r>
      <w:r>
        <w:t xml:space="preserve">.</w:t>
      </w:r>
    </w:p>
    <w:bookmarkEnd w:id="23"/>
    <w:bookmarkStart w:id="25" w:name="analytical-methods"/>
    <w:p>
      <w:pPr>
        <w:pStyle w:val="Heading2"/>
      </w:pPr>
      <w:r>
        <w:t xml:space="preserve">5.3 Analytical methods</w:t>
      </w:r>
    </w:p>
    <w:p>
      <w:pPr>
        <w:pStyle w:val="FirstParagraph"/>
      </w:pPr>
      <w:r>
        <w:t xml:space="preserve">The step responses will be measured by the validated methods in</w:t>
      </w:r>
      <w:r>
        <w:t xml:space="preserve"> </w:t>
      </w:r>
      <w:hyperlink w:anchor="tbl-methods">
        <w:r>
          <w:rPr>
            <w:rStyle w:val="Hyperlink"/>
          </w:rPr>
          <w:t xml:space="preserve">Table 5</w:t>
        </w:r>
      </w:hyperlink>
      <w:r>
        <w:t xml:space="preserve">; method</w:t>
      </w:r>
      <w:r>
        <w:t xml:space="preserve"> </w:t>
      </w:r>
      <w:r>
        <w:t xml:space="preserve">performance characteristics are per the cited validation reports. Aggregate is determined</w:t>
      </w:r>
      <w:r>
        <w:t xml:space="preserve"> </w:t>
      </w:r>
      <w:r>
        <w:t xml:space="preserve">by SEC-HPLC, the primary assay for the aggregate-polish claim.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metho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Validated analytical methods for the characterization.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Reference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Size-Variants (SEC-HPLC)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Host-Cell Protein ELISA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 (qPCR)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 by ELISA (ppm)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</w:tbl>
          <w:bookmarkEnd w:id="24"/>
          <w:p/>
        </w:tc>
      </w:tr>
    </w:tbl>
    <w:bookmarkEnd w:id="25"/>
    <w:bookmarkStart w:id="26" w:name="sampling-plan"/>
    <w:p>
      <w:pPr>
        <w:pStyle w:val="Heading2"/>
      </w:pPr>
      <w:r>
        <w:t xml:space="preserve">5.4 Sampling plan</w:t>
      </w:r>
    </w:p>
    <w:p>
      <w:pPr>
        <w:pStyle w:val="FirstParagraph"/>
      </w:pPr>
      <w:r>
        <w:t xml:space="preserve">Each DoE run will be sampled at the eluate pool for aggregate, HCP, residual DNA and</w:t>
      </w:r>
      <w:r>
        <w:t xml:space="preserve"> </w:t>
      </w:r>
      <w:r>
        <w:t xml:space="preserve">leached Protein A, and the load and pool product mass will be recorded for the step-yield</w:t>
      </w:r>
      <w:r>
        <w:t xml:space="preserve"> </w:t>
      </w:r>
      <w:r>
        <w:t xml:space="preserve">determination; in-process readings (pH, conductivity, UV) will confirm the chromatographic</w:t>
      </w:r>
      <w:r>
        <w:t xml:space="preserve"> </w:t>
      </w:r>
      <w:r>
        <w:t xml:space="preserve">profile and the pool collection window. Centre-point runs are replicated within each</w:t>
      </w:r>
      <w:r>
        <w:t xml:space="preserve"> </w:t>
      </w:r>
      <w:r>
        <w:t xml:space="preserve">design (three in screening, four in the response-surface design) to quantify</w:t>
      </w:r>
      <w:r>
        <w:t xml:space="preserve"> </w:t>
      </w:r>
      <w:r>
        <w:t xml:space="preserve">reproducibility and pure error.</w:t>
      </w:r>
    </w:p>
    <w:bookmarkEnd w:id="26"/>
    <w:bookmarkStart w:id="27" w:name="statistical-methods"/>
    <w:p>
      <w:pPr>
        <w:pStyle w:val="Heading2"/>
      </w:pPr>
      <w:r>
        <w:t xml:space="preserve">5.5 Statistical methods</w:t>
      </w:r>
    </w:p>
    <w:p>
      <w:pPr>
        <w:pStyle w:val="FirstParagraph"/>
      </w:pPr>
      <w:r>
        <w:t xml:space="preserve">Designs will be constructed and analyzed in coded factors, with each parameter’s</w:t>
      </w:r>
      <w:r>
        <w:t xml:space="preserve"> </w:t>
      </w:r>
      <w:r>
        <w:t xml:space="preserve">characterization range mapped so that the set-point is 0 and the range edges are</w:t>
      </w:r>
      <w:r>
        <w:t xml:space="preserve"> </w:t>
      </w:r>
      <w:r>
        <w:t xml:space="preserve">±1 (</w:t>
      </w:r>
      <w:r>
        <w:rPr>
          <w:b/>
          <w:bCs/>
        </w:rPr>
        <w:t xml:space="preserve">SOP-1002</w:t>
      </w:r>
      <w:r>
        <w:t xml:space="preserve">). Screening data will be analyzed by ordinary-least-squares regression</w:t>
      </w:r>
      <w:r>
        <w:t xml:space="preserve"> </w:t>
      </w:r>
      <w:r>
        <w:t xml:space="preserve">of each response on the main effects and all two-factor interactions; factor effects are</w:t>
      </w:r>
      <w:r>
        <w:t xml:space="preserve"> </w:t>
      </w:r>
      <w:r>
        <w:t xml:space="preserve">reported as twice the coded coefficient. Response-surface data will be analyzed with the</w:t>
      </w:r>
      <w:r>
        <w:t xml:space="preserve"> </w:t>
      </w:r>
      <w:r>
        <w:t xml:space="preserve">full quadratic model (main effects, two-factor interactions and pure-quadratic terms).</w:t>
      </w:r>
      <w:r>
        <w:t xml:space="preserve"> </w:t>
      </w:r>
      <w:r>
        <w:t xml:space="preserve">Significance will be assessed at α = 0.05. Model adequacy will be judged by R², adjusted</w:t>
      </w:r>
      <w:r>
        <w:t xml:space="preserve"> </w:t>
      </w:r>
      <w:r>
        <w:t xml:space="preserve">R², predicted R² (from the PRESS statistic), the overall model F-test, and an ANOVA</w:t>
      </w:r>
      <w:r>
        <w:t xml:space="preserve"> </w:t>
      </w:r>
      <w:r>
        <w:t xml:space="preserve">lack-of-fit test against the centre-point pure error; a response with no significant</w:t>
      </w:r>
      <w:r>
        <w:t xml:space="preserve"> </w:t>
      </w:r>
      <w:r>
        <w:t xml:space="preserve">parameter effect beyond a single dominant factor will be reported as robust rather than</w:t>
      </w:r>
      <w:r>
        <w:t xml:space="preserve"> </w:t>
      </w:r>
      <w:r>
        <w:t xml:space="preserve">modelled predictively. The operating region will be defined as the multivariate region of</w:t>
      </w:r>
      <w:r>
        <w:t xml:space="preserve"> </w:t>
      </w:r>
      <w:r>
        <w:t xml:space="preserve">the well-controlled CPPs over which the eluate-pool aggregate and HCP are controlled, and</w:t>
      </w:r>
      <w:r>
        <w:t xml:space="preserve"> </w:t>
      </w:r>
      <w:r>
        <w:t xml:space="preserve">commercial-scale capability of the drug-substance CQAs governed by the step will be</w:t>
      </w:r>
      <w:r>
        <w:t xml:space="preserve"> </w:t>
      </w:r>
      <w:r>
        <w:t xml:space="preserve">estimated by Monte-Carlo simulation with each parameter varied within its NOR.</w:t>
      </w:r>
    </w:p>
    <w:bookmarkEnd w:id="27"/>
    <w:bookmarkEnd w:id="28"/>
    <w:bookmarkStart w:id="35" w:name="study-design"/>
    <w:p>
      <w:pPr>
        <w:pStyle w:val="Heading1"/>
      </w:pPr>
      <w:r>
        <w:t xml:space="preserve">6. Study design</w:t>
      </w:r>
    </w:p>
    <w:bookmarkStart w:id="31" w:name="factors-ranges-and-study-type"/>
    <w:p>
      <w:pPr>
        <w:pStyle w:val="Heading2"/>
      </w:pPr>
      <w:r>
        <w:t xml:space="preserve">6.1 Factors, ranges and study type</w:t>
      </w:r>
    </w:p>
    <w:p>
      <w:pPr>
        <w:pStyle w:val="FirstParagraph"/>
      </w:pPr>
      <w:r>
        <w:t xml:space="preserve">Five parameters are in scope (</w:t>
      </w:r>
      <w:hyperlink w:anchor="tbl-param">
        <w:r>
          <w:rPr>
            <w:rStyle w:val="Hyperlink"/>
          </w:rPr>
          <w:t xml:space="preserve">Table 6</w:t>
        </w:r>
      </w:hyperlink>
      <w:r>
        <w:t xml:space="preserve">). The characterization range of each factor</w:t>
      </w:r>
      <w:r>
        <w:t xml:space="preserve"> </w:t>
      </w:r>
      <w:r>
        <w:t xml:space="preserve">(</w:t>
      </w:r>
      <w:r>
        <w:t xml:space="preserve">“Range studied”</w:t>
      </w:r>
      <w:r>
        <w:t xml:space="preserve">) defines the edges of the explored knowledge space and the basis of the</w:t>
      </w:r>
      <w:r>
        <w:t xml:space="preserve"> </w:t>
      </w:r>
      <w:r>
        <w:t xml:space="preserve">PAR; the NOR is the tighter routine-control range. Classification is an output of the</w:t>
      </w:r>
      <w:r>
        <w:t xml:space="preserve"> </w:t>
      </w:r>
      <w:r>
        <w:t xml:space="preserve">study and is reported in PCR-007. The DoE factor coding for the four multivariate factors</w:t>
      </w:r>
      <w:r>
        <w:t xml:space="preserve"> </w:t>
      </w:r>
      <w:r>
        <w:t xml:space="preserve">is given in</w:t>
      </w:r>
      <w:r>
        <w:t xml:space="preserve"> </w:t>
      </w:r>
      <w:hyperlink w:anchor="tbl-legend">
        <w:r>
          <w:rPr>
            <w:rStyle w:val="Hyperlink"/>
          </w:rPr>
          <w:t xml:space="preserve">Table 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para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Cation-exchange parameters, set-points, characterization ranges and planned study type.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968"/>
              <w:gridCol w:w="1144"/>
              <w:gridCol w:w="1496"/>
              <w:gridCol w:w="968"/>
              <w:gridCol w:w="123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Set-point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Range studied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 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 resin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18–32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Load/Wash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mS/cm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4–6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buffer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5.8–6.2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5.85–6.15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stop collect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OD desc.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0.5–1.5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0.7–1.3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flow rate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cm/hr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100–300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150–250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lege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Design-of-experiments factor legend (coded A–D).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Studied 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 resin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Load/Wash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mS/cm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buffer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stop collect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OD desc.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creening-design"/>
    <w:p>
      <w:pPr>
        <w:pStyle w:val="Heading2"/>
      </w:pPr>
      <w:r>
        <w:t xml:space="preserve">6.2 Screening design</w:t>
      </w:r>
    </w:p>
    <w:p>
      <w:pPr>
        <w:pStyle w:val="FirstParagraph"/>
      </w:pPr>
      <w:r>
        <w:t xml:space="preserve">Factor screening will use a two-level full factorial in the four multivariate factors</w:t>
      </w:r>
      <w:r>
        <w:t xml:space="preserve"> </w:t>
      </w:r>
      <w:r>
        <w:t xml:space="preserve">(A–D) with three centre-point replicates, 19 runs in total. The full</w:t>
      </w:r>
      <w:r>
        <w:t xml:space="preserve"> </w:t>
      </w:r>
      <w:r>
        <w:t xml:space="preserve">factorial estimates all four main effects and all six two-factor interactions without</w:t>
      </w:r>
      <w:r>
        <w:t xml:space="preserve"> </w:t>
      </w:r>
      <w:r>
        <w:t xml:space="preserve">confounding. Three responses will be recorded for each run (eluate-pool aggregate,</w:t>
      </w:r>
      <w:r>
        <w:t xml:space="preserve"> </w:t>
      </w:r>
      <w:r>
        <w:t xml:space="preserve">eluate-pool HCP and step yield). The planned coded design is given in Appendix A.</w:t>
      </w:r>
    </w:p>
    <w:bookmarkEnd w:id="32"/>
    <w:bookmarkStart w:id="33" w:name="response-surface-design"/>
    <w:p>
      <w:pPr>
        <w:pStyle w:val="Heading2"/>
      </w:pPr>
      <w:r>
        <w:t xml:space="preserve">6.3 Response-surface design</w:t>
      </w:r>
    </w:p>
    <w:p>
      <w:pPr>
        <w:pStyle w:val="FirstParagraph"/>
      </w:pPr>
      <w:r>
        <w:t xml:space="preserve">The four multivariate factors will be carried into a face-centred central-composite</w:t>
      </w:r>
      <w:r>
        <w:t xml:space="preserve"> </w:t>
      </w:r>
      <w:r>
        <w:t xml:space="preserve">design with four centre-point replicates, 28 runs in total, enabling</w:t>
      </w:r>
      <w:r>
        <w:t xml:space="preserve"> </w:t>
      </w:r>
      <w:r>
        <w:t xml:space="preserve">estimation of curvature in addition to main effects and interactions. The planned coded</w:t>
      </w:r>
      <w:r>
        <w:t xml:space="preserve"> </w:t>
      </w:r>
      <w:r>
        <w:t xml:space="preserve">design is given in Appendix B.</w:t>
      </w:r>
    </w:p>
    <w:bookmarkEnd w:id="33"/>
    <w:bookmarkStart w:id="34" w:name="univariate-assessment"/>
    <w:p>
      <w:pPr>
        <w:pStyle w:val="Heading2"/>
      </w:pPr>
      <w:r>
        <w:t xml:space="preserve">6.4 Univariate assessment</w:t>
      </w:r>
    </w:p>
    <w:p>
      <w:pPr>
        <w:pStyle w:val="FirstParagraph"/>
      </w:pPr>
      <w:r>
        <w:t xml:space="preserve">The elution flow rate will be evaluated one factor at a time across its characterization</w:t>
      </w:r>
      <w:r>
        <w:t xml:space="preserve"> </w:t>
      </w:r>
      <w:r>
        <w:t xml:space="preserve">range for its effect on step yield, the eluate-pool aggregate and HCP, and the</w:t>
      </w:r>
      <w:r>
        <w:t xml:space="preserve"> </w:t>
      </w:r>
      <w:r>
        <w:t xml:space="preserve">chromatographic profile; it will not be carried into the multivariate design because</w:t>
      </w:r>
      <w:r>
        <w:t xml:space="preserve"> </w:t>
      </w:r>
      <w:r>
        <w:t xml:space="preserve">prior knowledge indicates no credible impact to a product-quality CQA.</w:t>
      </w:r>
    </w:p>
    <w:bookmarkEnd w:id="34"/>
    <w:bookmarkEnd w:id="35"/>
    <w:bookmarkStart w:id="36" w:name="acceptance-and-decision-criteria"/>
    <w:p>
      <w:pPr>
        <w:pStyle w:val="Heading1"/>
      </w:pPr>
      <w:r>
        <w:t xml:space="preserve">7. Acceptance and decision criteria</w:t>
      </w:r>
    </w:p>
    <w:p>
      <w:pPr>
        <w:pStyle w:val="FirstParagraph"/>
      </w:pPr>
      <w:r>
        <w:t xml:space="preserve">The study is acceptable when:</w:t>
      </w:r>
    </w:p>
    <w:p>
      <w:pPr>
        <w:pStyle w:val="Compact"/>
        <w:numPr>
          <w:ilvl w:val="0"/>
          <w:numId w:val="1002"/>
        </w:numPr>
      </w:pPr>
      <w:r>
        <w:t xml:space="preserve">the SDM qualification confirms representativeness of commercial scale</w:t>
      </w:r>
      <w:r>
        <w:t xml:space="preserve"> </w:t>
      </w:r>
      <w:r>
        <w:t xml:space="preserve">(</w:t>
      </w:r>
      <w:r>
        <w:rPr>
          <w:b/>
          <w:bCs/>
        </w:rPr>
        <w:t xml:space="preserve">SOP-1001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the fitted response-surface models for the eluate-pool aggregate and the eluate-pool</w:t>
      </w:r>
      <w:r>
        <w:t xml:space="preserve"> </w:t>
      </w:r>
      <w:r>
        <w:t xml:space="preserve">HCP are adequate — target R² ≥ 0.90, adjusted R² ≥ 0.80, no significant lack of fit</w:t>
      </w:r>
      <w:r>
        <w:t xml:space="preserve"> </w:t>
      </w:r>
      <w:r>
        <w:t xml:space="preserve">(p &gt; 0.05 against the centre-point pure error), and residual diagnostics without</w:t>
      </w:r>
      <w:r>
        <w:t xml:space="preserve"> </w:t>
      </w:r>
      <w:r>
        <w:t xml:space="preserve">systematic structure (a response governed by a single dominant factor is reported by</w:t>
      </w:r>
      <w:r>
        <w:t xml:space="preserve"> </w:t>
      </w:r>
      <w:r>
        <w:t xml:space="preserve">that dependence and is otherwise robust); and</w:t>
      </w:r>
    </w:p>
    <w:p>
      <w:pPr>
        <w:pStyle w:val="Compact"/>
        <w:numPr>
          <w:ilvl w:val="0"/>
          <w:numId w:val="1002"/>
        </w:numPr>
      </w:pPr>
      <w:r>
        <w:t xml:space="preserve">a multivariate operating region exists over which the eluate-pool aggregate and HCP are</w:t>
      </w:r>
      <w:r>
        <w:t xml:space="preserve"> </w:t>
      </w:r>
      <w:r>
        <w:t xml:space="preserve">controlled at the set-point and across each parameter’s NOR.</w:t>
      </w:r>
    </w:p>
    <w:p>
      <w:pPr>
        <w:pStyle w:val="FirstParagraph"/>
      </w:pPr>
      <w:r>
        <w:t xml:space="preserve">Each parameter will then be classified per the A-Mab continuum</w:t>
      </w:r>
      <w:r>
        <w:t xml:space="preserve"> </w:t>
      </w:r>
      <w:r>
        <w:t xml:space="preserve">(CMC Biotech Working Group 2009)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a parameter whose variability significantly impacts a CQA is a</w:t>
      </w:r>
      <w:r>
        <w:t xml:space="preserve"> </w:t>
      </w:r>
      <w:r>
        <w:rPr>
          <w:b/>
          <w:bCs/>
        </w:rPr>
        <w:t xml:space="preserve">CPP</w:t>
      </w:r>
      <w:r>
        <w:t xml:space="preserve">; where the</w:t>
      </w:r>
      <w:r>
        <w:t xml:space="preserve"> </w:t>
      </w:r>
      <w:r>
        <w:t xml:space="preserve">impact is reliably controlled within the operating region (low risk of leaving it)</w:t>
      </w:r>
      <w:r>
        <w:t xml:space="preserve"> </w:t>
      </w:r>
      <w:r>
        <w:t xml:space="preserve">the parameter is a</w:t>
      </w:r>
      <w:r>
        <w:t xml:space="preserve"> </w:t>
      </w:r>
      <w:r>
        <w:rPr>
          <w:b/>
          <w:bCs/>
        </w:rPr>
        <w:t xml:space="preserve">well-controlled CPP (WC-CPP)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 parameter that does not significantly impact a CQA but affects process performance</w:t>
      </w:r>
      <w:r>
        <w:t xml:space="preserve"> </w:t>
      </w:r>
      <w:r>
        <w:t xml:space="preserve">or consistency is a</w:t>
      </w:r>
      <w:r>
        <w:t xml:space="preserve"> </w:t>
      </w:r>
      <w:r>
        <w:rPr>
          <w:b/>
          <w:bCs/>
        </w:rPr>
        <w:t xml:space="preserve">KPP</w:t>
      </w:r>
      <w:r>
        <w:t xml:space="preserve">; otherwise it is a</w:t>
      </w:r>
      <w:r>
        <w:t xml:space="preserve"> </w:t>
      </w:r>
      <w:r>
        <w:rPr>
          <w:b/>
          <w:bCs/>
        </w:rPr>
        <w:t xml:space="preserve">GPP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consistent with the post-characterization FMEA convention, a parameter that affects a</w:t>
      </w:r>
      <w:r>
        <w:t xml:space="preserve"> </w:t>
      </w:r>
      <w:r>
        <w:t xml:space="preserve">CQA with Severity ≥ 8, or that carries an initial (pre-mitigation) risk priority</w:t>
      </w:r>
      <w:r>
        <w:t xml:space="preserve"> </w:t>
      </w:r>
      <w:r>
        <w:t xml:space="preserve">number &gt; 72, is designated a CPP before mitigation by the control strategy.</w:t>
      </w:r>
    </w:p>
    <w:p>
      <w:pPr>
        <w:pStyle w:val="FirstParagraph"/>
      </w:pPr>
      <w:r>
        <w:t xml:space="preserve">The operating region, classifications and PARs established here will justify the</w:t>
      </w:r>
      <w:r>
        <w:t xml:space="preserve"> </w:t>
      </w:r>
      <w:r>
        <w:t xml:space="preserve">Stage 2 operating ranges and feed the drug-substance control strategy.</w:t>
      </w:r>
    </w:p>
    <w:bookmarkEnd w:id="36"/>
    <w:bookmarkStart w:id="37" w:name="data-management-and-integrity"/>
    <w:p>
      <w:pPr>
        <w:pStyle w:val="Heading1"/>
      </w:pPr>
      <w:r>
        <w:t xml:space="preserve">8. Data management and integrity</w:t>
      </w:r>
    </w:p>
    <w:p>
      <w:pPr>
        <w:pStyle w:val="FirstParagraph"/>
      </w:pPr>
      <w:r>
        <w:t xml:space="preserve">All raw data, DoE designs, analytical results and statistical analyses will be recorded</w:t>
      </w:r>
      <w:r>
        <w:t xml:space="preserve"> </w:t>
      </w:r>
      <w:r>
        <w:t xml:space="preserve">and retained under the site data-integrity procedures (ALCOA+). Analyses will be</w:t>
      </w:r>
      <w:r>
        <w:t xml:space="preserve"> </w:t>
      </w:r>
      <w:r>
        <w:t xml:space="preserve">performed with version-controlled scripts and reviewed by a second analyst; designs,</w:t>
      </w:r>
      <w:r>
        <w:t xml:space="preserve"> </w:t>
      </w:r>
      <w:r>
        <w:t xml:space="preserve">models and the derived operating region will be archived with the report. Any deviation</w:t>
      </w:r>
      <w:r>
        <w:t xml:space="preserve"> </w:t>
      </w:r>
      <w:r>
        <w:t xml:space="preserve">from this plan will be documented and assessed for impact in PCR-007.</w:t>
      </w:r>
    </w:p>
    <w:bookmarkEnd w:id="37"/>
    <w:bookmarkStart w:id="39" w:name="roles-and-responsibilities"/>
    <w:p>
      <w:pPr>
        <w:pStyle w:val="Heading1"/>
      </w:pPr>
      <w:r>
        <w:t xml:space="preserve">9. Roles and responsibilities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rol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Roles and responsibilities.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Responsibility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Process Development / MSAT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Author the plan; design, execute and analyze the DoE; author PCR-007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Analytical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Perform released and in-process testing under the referenced AMV methods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Manufacturing Science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Qualify the scale-down model; confirm commercial-scale representativeness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 the design, the statistical analysis and the operating-region 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Assurance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Approve the plan and the report; confirm parameter classifications</w:t>
                  </w:r>
                </w:p>
              </w:tc>
            </w:tr>
          </w:tbl>
          <w:bookmarkEnd w:id="38"/>
          <w:p/>
        </w:tc>
      </w:tr>
    </w:tbl>
    <w:bookmarkEnd w:id="39"/>
    <w:bookmarkStart w:id="40" w:name="deliverables-and-schedule"/>
    <w:p>
      <w:pPr>
        <w:pStyle w:val="Heading1"/>
      </w:pPr>
      <w:r>
        <w:t xml:space="preserve">10. Deliverables and schedule</w:t>
      </w:r>
    </w:p>
    <w:p>
      <w:pPr>
        <w:pStyle w:val="FirstParagraph"/>
      </w:pPr>
      <w:r>
        <w:t xml:space="preserve">The deliverable of this plan is the Process Characterization Report (</w:t>
      </w:r>
      <w:r>
        <w:rPr>
          <w:b/>
          <w:bCs/>
        </w:rPr>
        <w:t xml:space="preserve">PCR-007</w:t>
      </w:r>
      <w:r>
        <w:t xml:space="preserve">),</w:t>
      </w:r>
      <w:r>
        <w:t xml:space="preserve"> </w:t>
      </w:r>
      <w:r>
        <w:t xml:space="preserve">reporting the executed designs, the significant effects, the operating region, the</w:t>
      </w:r>
      <w:r>
        <w:t xml:space="preserve"> </w:t>
      </w:r>
      <w:r>
        <w:t xml:space="preserve">parameter classification and the aggregate/impurity-CQA outcomes. PCR-007 rolls up into</w:t>
      </w:r>
      <w:r>
        <w:t xml:space="preserve"> </w:t>
      </w:r>
      <w:r>
        <w:t xml:space="preserve">the Process Characterization Master Report (</w:t>
      </w:r>
      <w:r>
        <w:rPr>
          <w:b/>
          <w:bCs/>
        </w:rPr>
        <w:t xml:space="preserve">PCMR-001</w:t>
      </w:r>
      <w:r>
        <w:t xml:space="preserve">) and provides the parameter risk</w:t>
      </w:r>
      <w:r>
        <w:t xml:space="preserve"> </w:t>
      </w:r>
      <w:r>
        <w:t xml:space="preserve">basis for the post-characterization process risk assessment. Execution follows SDM</w:t>
      </w:r>
      <w:r>
        <w:t xml:space="preserve"> </w:t>
      </w:r>
      <w:r>
        <w:t xml:space="preserve">qualification and precedes the Stage 2 PPQ campaign.</w:t>
      </w:r>
    </w:p>
    <w:bookmarkEnd w:id="40"/>
    <w:bookmarkStart w:id="41" w:name="risks-and-assumptions"/>
    <w:p>
      <w:pPr>
        <w:pStyle w:val="Heading1"/>
      </w:pPr>
      <w:r>
        <w:t xml:space="preserve">11. Risks and assumptions</w:t>
      </w:r>
    </w:p>
    <w:p>
      <w:pPr>
        <w:pStyle w:val="FirstParagraph"/>
      </w:pPr>
      <w:r>
        <w:t xml:space="preserve">The plan assumes the SDM is representative of commercial scale (confirmed by</w:t>
      </w:r>
      <w:r>
        <w:t xml:space="preserve"> </w:t>
      </w:r>
      <w:r>
        <w:t xml:space="preserve">qualification) and that the platform analytical methods are validated and in control. The</w:t>
      </w:r>
      <w:r>
        <w:t xml:space="preserve"> </w:t>
      </w:r>
      <w:r>
        <w:t xml:space="preserve">principal risk is that the absolute aggregate and HCP clearance shift at commercial scale</w:t>
      </w:r>
      <w:r>
        <w:t xml:space="preserve"> </w:t>
      </w:r>
      <w:r>
        <w:t xml:space="preserve">or over the resin life-cycle, or that the incoming aggregate load is higher than</w:t>
      </w:r>
      <w:r>
        <w:t xml:space="preserve"> </w:t>
      </w:r>
      <w:r>
        <w:t xml:space="preserve">characterized; this is mitigated by defining the operating region on the qualified SDM,</w:t>
      </w:r>
      <w:r>
        <w:t xml:space="preserve"> </w:t>
      </w:r>
      <w:r>
        <w:t xml:space="preserve">challenging the step against a representative worst-case aggregate feed, confirming the</w:t>
      </w:r>
      <w:r>
        <w:t xml:space="preserve"> </w:t>
      </w:r>
      <w:r>
        <w:t xml:space="preserve">region at scale in Stage 2, and carrying the WC-CPP ranges forward with in-process</w:t>
      </w:r>
      <w:r>
        <w:t xml:space="preserve"> </w:t>
      </w:r>
      <w:r>
        <w:t xml:space="preserve">monitoring and resin life-cycle control.</w:t>
      </w:r>
    </w:p>
    <w:bookmarkEnd w:id="41"/>
    <w:bookmarkStart w:id="42" w:name="approvals-1"/>
    <w:p>
      <w:pPr>
        <w:pStyle w:val="Heading1"/>
      </w:pPr>
      <w:r>
        <w:t xml:space="preserve">12. Approvals</w:t>
      </w:r>
    </w:p>
    <w:p>
      <w:pPr>
        <w:pStyle w:val="FirstParagraph"/>
      </w:pPr>
      <w:r>
        <w:t xml:space="preserve">Approval of this plan authorizes execution of the characterization described herein.</w:t>
      </w:r>
      <w:r>
        <w:t xml:space="preserve"> </w:t>
      </w:r>
      <w:r>
        <w:t xml:space="preserve">Signatures are recorded in</w:t>
      </w:r>
      <w:r>
        <w:t xml:space="preserve"> </w:t>
      </w:r>
      <w:hyperlink w:anchor="tbl-appr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2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Start w:id="43" w:name="ref-amab2009"/>
    <w:p>
      <w:pPr>
        <w:pStyle w:val="Bibliography"/>
      </w:pPr>
      <w:r>
        <w:t xml:space="preserve">CMC Biotech Working Group. 2009.</w:t>
      </w:r>
      <w:r>
        <w:t xml:space="preserve"> </w:t>
      </w:r>
      <w:r>
        <w:rPr>
          <w:i/>
          <w:iCs/>
        </w:rPr>
        <w:t xml:space="preserve">A-Mab: A Case Study in Bioprocess Development</w:t>
      </w:r>
      <w:r>
        <w:t xml:space="preserve">. CASSS.</w:t>
      </w:r>
    </w:p>
    <w:bookmarkEnd w:id="43"/>
    <w:bookmarkStart w:id="44" w:name="ref-ichq8"/>
    <w:p>
      <w:pPr>
        <w:pStyle w:val="Bibliography"/>
      </w:pPr>
      <w:r>
        <w:t xml:space="preserve">International Council for Harmonisation. 2009.</w:t>
      </w:r>
      <w:r>
        <w:t xml:space="preserve"> </w:t>
      </w:r>
      <w:r>
        <w:rPr>
          <w:i/>
          <w:iCs/>
        </w:rPr>
        <w:t xml:space="preserve">ICH Q8(R2): Pharmaceutical Development</w:t>
      </w:r>
      <w:r>
        <w:t xml:space="preserve">. ICH.</w:t>
      </w:r>
    </w:p>
    <w:bookmarkEnd w:id="44"/>
    <w:bookmarkStart w:id="45" w:name="ref-ichq11"/>
    <w:p>
      <w:pPr>
        <w:pStyle w:val="Bibliography"/>
      </w:pPr>
      <w:r>
        <w:t xml:space="preserve">International Council for Harmonisation. 2012.</w:t>
      </w:r>
      <w:r>
        <w:t xml:space="preserve"> </w:t>
      </w:r>
      <w:r>
        <w:rPr>
          <w:i/>
          <w:iCs/>
        </w:rPr>
        <w:t xml:space="preserve">ICH Q11: Development and Manufacture of Drug Substances</w:t>
      </w:r>
      <w:r>
        <w:t xml:space="preserve">. ICH.</w:t>
      </w:r>
    </w:p>
    <w:bookmarkEnd w:id="45"/>
    <w:bookmarkStart w:id="46" w:name="ref-ichq9"/>
    <w:p>
      <w:pPr>
        <w:pStyle w:val="Bibliography"/>
      </w:pPr>
      <w:r>
        <w:t xml:space="preserve">International Council for Harmonisation. 2023.</w:t>
      </w:r>
      <w:r>
        <w:t xml:space="preserve"> </w:t>
      </w:r>
      <w:r>
        <w:rPr>
          <w:i/>
          <w:iCs/>
        </w:rPr>
        <w:t xml:space="preserve">ICH Q9(R1): Quality Risk Management</w:t>
      </w:r>
      <w:r>
        <w:t xml:space="preserve">. ICH.</w:t>
      </w:r>
    </w:p>
    <w:bookmarkEnd w:id="46"/>
    <w:bookmarkStart w:id="47" w:name="ref-ispegpg2023"/>
    <w:p>
      <w:pPr>
        <w:pStyle w:val="Bibliography"/>
      </w:pPr>
      <w:r>
        <w:t xml:space="preserve">International Society for Pharmaceutical Engineering. 2023.</w:t>
      </w:r>
      <w:r>
        <w:t xml:space="preserve"> </w:t>
      </w:r>
      <w:r>
        <w:rPr>
          <w:i/>
          <w:iCs/>
        </w:rPr>
        <w:t xml:space="preserve">Good Practice Guide: Practical Implementation of the Lifecycle Approach to Process Validation</w:t>
      </w:r>
      <w:r>
        <w:t xml:space="preserve">. ISPE.</w:t>
      </w:r>
    </w:p>
    <w:bookmarkEnd w:id="47"/>
    <w:bookmarkStart w:id="48" w:name="ref-pdatr60"/>
    <w:p>
      <w:pPr>
        <w:pStyle w:val="Bibliography"/>
      </w:pPr>
      <w:r>
        <w:t xml:space="preserve">Parenteral Drug Association. 2013.</w:t>
      </w:r>
      <w:r>
        <w:t xml:space="preserve"> </w:t>
      </w:r>
      <w:r>
        <w:rPr>
          <w:i/>
          <w:iCs/>
        </w:rPr>
        <w:t xml:space="preserve">Technical Report No. 60: Process Validation — a Lifecycle Approach</w:t>
      </w:r>
      <w:r>
        <w:t xml:space="preserve">. PDA.</w:t>
      </w:r>
    </w:p>
    <w:bookmarkEnd w:id="48"/>
    <w:bookmarkStart w:id="49" w:name="ref-fda2011"/>
    <w:p>
      <w:pPr>
        <w:pStyle w:val="Bibliography"/>
      </w:pPr>
      <w:r>
        <w:t xml:space="preserve">U.S. Food and Drug Administration. 2011.</w:t>
      </w:r>
      <w:r>
        <w:t xml:space="preserve"> </w:t>
      </w:r>
      <w:r>
        <w:rPr>
          <w:i/>
          <w:iCs/>
        </w:rPr>
        <w:t xml:space="preserve">Guidance for Industry: Process Validation — General Principles and Practices</w:t>
      </w:r>
      <w:r>
        <w:t xml:space="preserve">. FDA.</w:t>
      </w:r>
    </w:p>
    <w:bookmarkEnd w:id="49"/>
    <w:bookmarkEnd w:id="50"/>
    <w:p>
      <w:r>
        <w:br w:type="page"/>
      </w:r>
    </w:p>
    <w:bookmarkEnd w:id="51"/>
    <w:bookmarkStart w:id="53" w:name="appendix-a-planned-screening-design"/>
    <w:p>
      <w:pPr>
        <w:pStyle w:val="Heading1"/>
      </w:pPr>
      <w:r>
        <w:t xml:space="preserve">Appendix A — Planned screening design</w:t>
      </w:r>
    </w:p>
    <w:p>
      <w:pPr>
        <w:pStyle w:val="FirstParagraph"/>
      </w:pPr>
      <w:r>
        <w:t xml:space="preserve">Coded two-level full-factorial design (factors A–D per</w:t>
      </w:r>
      <w:r>
        <w:t xml:space="preserve"> </w:t>
      </w:r>
      <w:hyperlink w:anchor="tbl-legend">
        <w:r>
          <w:rPr>
            <w:rStyle w:val="Hyperlink"/>
          </w:rPr>
          <w:t xml:space="preserve">Table 7</w:t>
        </w:r>
      </w:hyperlink>
      <w:r>
        <w:t xml:space="preserve">; coded levels</w:t>
      </w:r>
      <w:r>
        <w:t xml:space="preserve"> </w:t>
      </w:r>
      <w:r>
        <w:t xml:space="preserve">−1/0/+1). Responses will be recorded at execution and reported in PCR-007.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app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Appendix A — planned screening design (coded factor settings).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52"/>
          <w:p/>
        </w:tc>
      </w:tr>
    </w:tbl>
    <w:p>
      <w:r>
        <w:br w:type="page"/>
      </w:r>
    </w:p>
    <w:bookmarkEnd w:id="53"/>
    <w:bookmarkStart w:id="55" w:name="X3978fd0e1f4921f866c945eb6c5168c0afc9cb9"/>
    <w:p>
      <w:pPr>
        <w:pStyle w:val="Heading1"/>
      </w:pPr>
      <w:r>
        <w:t xml:space="preserve">Appendix B — Planned response-surface design</w:t>
      </w:r>
    </w:p>
    <w:p>
      <w:pPr>
        <w:pStyle w:val="FirstParagraph"/>
      </w:pPr>
      <w:r>
        <w:t xml:space="preserve">Coded face-centred central-composite design (factors A–D; coded levels −1/0/+1).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app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10: Appendix B — planned response-surface design (coded factor settings).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54"/>
          <w:p/>
        </w:tc>
      </w:tr>
    </w:tbl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Characterization Plan</dc:title>
  <dc:creator>Process Development / Manufacturing Science &amp; Technology (MSAT)</dc:creator>
  <cp:keywords/>
  <dcterms:created xsi:type="dcterms:W3CDTF">2026-07-25T10:59:58Z</dcterms:created>
  <dcterms:modified xsi:type="dcterms:W3CDTF">2026-07-25T10:59:58Z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2026-07-24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jupyter">
    <vt:lpwstr>python3</vt:lpwstr>
  </property>
  <property fmtid="{D5CDD505-2E9C-101B-9397-08002B2CF9AE}" pid="12" name="labels">
    <vt:lpwstr/>
  </property>
  <property fmtid="{D5CDD505-2E9C-101B-9397-08002B2CF9AE}" pid="13" name="subtitle">
    <vt:lpwstr>A-Mab Drug Substance — Cation Exchange Chromatography (Step 7) — PCP-007</vt:lpwstr>
  </property>
  <property fmtid="{D5CDD505-2E9C-101B-9397-08002B2CF9AE}" pid="14" name="tbl-cap-location">
    <vt:lpwstr>top</vt:lpwstr>
  </property>
  <property fmtid="{D5CDD505-2E9C-101B-9397-08002B2CF9AE}" pid="15" name="toc-title">
    <vt:lpwstr>Table of contents</vt:lpwstr>
  </property>
</Properties>
</file>