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Process Characterization Report</w:t>
      </w:r>
    </w:p>
    <w:p>
      <w:pPr>
        <w:pStyle w:val="Subtitle"/>
      </w:pPr>
      <w:r>
        <w:t xml:space="preserve">A-Mab Drug Substance — Harvest and Clarification (Step 4) — PCR-004</w:t>
      </w:r>
    </w:p>
    <w:p>
      <w:pPr>
        <w:pStyle w:val="Author"/>
      </w:pPr>
      <w:r>
        <w:t xml:space="preserve">Process Development / Manufacturing Science &amp; Technology (MSAT)</w:t>
      </w:r>
    </w:p>
    <w:p>
      <w:pPr>
        <w:pStyle w:val="Date"/>
      </w:pPr>
      <w:r>
        <w:t xml:space="preserve">2026-07-24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5"/>
        <w:gridCol w:w="694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PCR-004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Characterization Report: Harvest and Clarification (Step 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A-Mab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Effective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Approved (synthetic)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Science &amp; Technology (MSAT)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Sponsor / 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Novacyte Biologics; Novacyte Biologics — Cambridge, MA (Development) → Novacyte Biologics — Grafton, WI (Commercial DS)</w:t>
            </w:r>
          </w:p>
        </w:tc>
      </w:tr>
    </w:tbl>
    <w:p>
      <w:pPr>
        <w:pStyle w:val="BlockText"/>
      </w:pPr>
      <w:r>
        <w:rPr>
          <w:b/>
          <w:bCs/>
        </w:rPr>
        <w:t xml:space="preserve">SYNTHETIC DOCUMENT — NOT A REAL RECORD.</w:t>
      </w:r>
      <w:r>
        <w:t xml:space="preserve"> </w:t>
      </w:r>
      <w:r>
        <w:t xml:space="preserve">Illustrative content generated from a seeded model of the</w:t>
      </w:r>
      <w:r>
        <w:t xml:space="preserve"> </w:t>
      </w:r>
      <w:r>
        <w:rPr>
          <w:i/>
          <w:iCs/>
        </w:rPr>
        <w:t xml:space="preserve">A-Mab</w:t>
      </w:r>
      <w:r>
        <w:t xml:space="preserve"> </w:t>
      </w:r>
      <w:r>
        <w:t xml:space="preserve">case study (CMC Biotech Working Group, 2009). Novacyte Biologics and all sites, SOP/AMV numbers and signatories are fictional. For NLP corpus development only; not for any regulated use.</w:t>
      </w:r>
    </w:p>
    <w:bookmarkStart w:id="10" w:name="approvals"/>
    <w:p>
      <w:pPr>
        <w:pStyle w:val="Heading2"/>
      </w:pPr>
      <w:r>
        <w:t xml:space="preserve">Approvals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app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Approval record (synthetic; signatures not applied).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Name (synthetic)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Signature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Author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Process Development / MSAT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Analytical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Manufacturing Science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Reviewer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Purification Process Development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Approver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Assurance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</w:tbl>
          <w:bookmarkEnd w:id="9"/>
          <w:p/>
        </w:tc>
      </w:tr>
    </w:tbl>
    <w:bookmarkEnd w:id="10"/>
    <w:bookmarkStart w:id="11" w:name="abbreviations"/>
    <w:p>
      <w:pPr>
        <w:pStyle w:val="Heading2"/>
      </w:pPr>
      <w:r>
        <w:t xml:space="preserve">Abbreviations</w:t>
      </w:r>
    </w:p>
    <w:p>
      <w:pPr>
        <w:pStyle w:val="FirstParagraph"/>
      </w:pPr>
      <w:r>
        <w:t xml:space="preserve">BLA, Biologics License Application · CPP, critical process parameter · CQA, critical</w:t>
      </w:r>
      <w:r>
        <w:t xml:space="preserve"> </w:t>
      </w:r>
      <w:r>
        <w:t xml:space="preserve">quality attribute · DNA, deoxyribonucleic acid · DS, drug substance · GPP, general</w:t>
      </w:r>
      <w:r>
        <w:t xml:space="preserve"> </w:t>
      </w:r>
      <w:r>
        <w:t xml:space="preserve">process parameter · HCP, host-cell protein · ICH, International Council for</w:t>
      </w:r>
      <w:r>
        <w:t xml:space="preserve"> </w:t>
      </w:r>
      <w:r>
        <w:t xml:space="preserve">Harmonisation · IPC, in-process control · KPP, key process parameter · MSAT,</w:t>
      </w:r>
      <w:r>
        <w:t xml:space="preserve"> </w:t>
      </w:r>
      <w:r>
        <w:t xml:space="preserve">Manufacturing Science and Technology · NOR, normal operating range · NTU,</w:t>
      </w:r>
      <w:r>
        <w:t xml:space="preserve"> </w:t>
      </w:r>
      <w:r>
        <w:t xml:space="preserve">nephelometric turbidity unit · PAR, proven acceptable range · PPQ, process</w:t>
      </w:r>
      <w:r>
        <w:t xml:space="preserve"> </w:t>
      </w:r>
      <w:r>
        <w:t xml:space="preserve">performance qualification · QbD, Quality by Design · rcf, relative centrifugal force ·</w:t>
      </w:r>
      <w:r>
        <w:t xml:space="preserve"> </w:t>
      </w:r>
      <w:r>
        <w:t xml:space="preserve">SDM, scale-down model · SEC, size-exclusion chromatography.</w:t>
      </w:r>
    </w:p>
    <w:p>
      <w:r>
        <w:br w:type="page"/>
      </w:r>
    </w:p>
    <w:bookmarkEnd w:id="11"/>
    <w:bookmarkStart w:id="12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This report documents the Stage 1 (Process Design) characterization of the A-Mab</w:t>
      </w:r>
      <w:r>
        <w:t xml:space="preserve"> </w:t>
      </w:r>
      <w:r>
        <w:t xml:space="preserve">harvest and clarification operation (Step 4), the primary-recovery unit operation</w:t>
      </w:r>
      <w:r>
        <w:t xml:space="preserve"> </w:t>
      </w:r>
      <w:r>
        <w:t xml:space="preserve">that separates the antibody-containing supernatant from the cells and debris of the</w:t>
      </w:r>
      <w:r>
        <w:t xml:space="preserve"> </w:t>
      </w:r>
      <w:r>
        <w:t xml:space="preserve">production culture and delivers a clarified feed to the Protein A capture step. The</w:t>
      </w:r>
      <w:r>
        <w:t xml:space="preserve"> </w:t>
      </w:r>
      <w:r>
        <w:t xml:space="preserve">study was executed under the Process Characterization Plan</w:t>
      </w:r>
      <w:r>
        <w:t xml:space="preserve"> </w:t>
      </w:r>
      <w:r>
        <w:rPr>
          <w:b/>
          <w:bCs/>
        </w:rPr>
        <w:t xml:space="preserve">PCP-004</w:t>
      </w:r>
      <w:r>
        <w:t xml:space="preserve"> </w:t>
      </w:r>
      <w:r>
        <w:t xml:space="preserve">on a qualified</w:t>
      </w:r>
      <w:r>
        <w:t xml:space="preserve"> </w:t>
      </w:r>
      <w:r>
        <w:t xml:space="preserve">bench-scale clarification model, following the lifecycle approach to process</w:t>
      </w:r>
      <w:r>
        <w:t xml:space="preserve"> </w:t>
      </w:r>
      <w:r>
        <w:t xml:space="preserve">validation</w:t>
      </w:r>
      <w:r>
        <w:t xml:space="preserve"> </w:t>
      </w:r>
      <w:r>
        <w:t xml:space="preserve">(U.S. Food and Drug Administration 2011; Parenteral Drug Association 2013; International Society for Pharmaceutical Engineering 2023)</w:t>
      </w:r>
      <w:r>
        <w:t xml:space="preserve"> </w:t>
      </w:r>
      <w:r>
        <w:t xml:space="preserve">and the Quality-by-Design principles of</w:t>
      </w:r>
      <w:r>
        <w:t xml:space="preserve"> </w:t>
      </w:r>
      <w:r>
        <w:t xml:space="preserve">ICH Q8, Q9 and Q11</w:t>
      </w:r>
      <w:r>
        <w:t xml:space="preserve"> </w:t>
      </w:r>
      <w:r>
        <w:t xml:space="preserve">(International Council for Harmonisation 2009, 2023, 2012)</w:t>
      </w:r>
      <w:r>
        <w:t xml:space="preserve">, with the process model and</w:t>
      </w:r>
      <w:r>
        <w:t xml:space="preserve"> </w:t>
      </w:r>
      <w:r>
        <w:t xml:space="preserve">quality-attribute framework of 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p>
      <w:pPr>
        <w:pStyle w:val="BodyText"/>
      </w:pPr>
      <w:r>
        <w:t xml:space="preserve">3 process parameters were evaluated one factor at a time. The</w:t>
      </w:r>
      <w:r>
        <w:t xml:space="preserve"> </w:t>
      </w:r>
      <w:r>
        <w:t xml:space="preserve">characterization confirms that harvest and clarification has</w:t>
      </w:r>
      <w:r>
        <w:t xml:space="preserve"> </w:t>
      </w:r>
      <w:r>
        <w:rPr>
          <w:b/>
          <w:bCs/>
        </w:rPr>
        <w:t xml:space="preserve">no impact on the</w:t>
      </w:r>
      <w:r>
        <w:rPr>
          <w:b/>
          <w:bCs/>
        </w:rPr>
        <w:t xml:space="preserve"> </w:t>
      </w:r>
      <w:r>
        <w:rPr>
          <w:b/>
          <w:bCs/>
        </w:rPr>
        <w:t xml:space="preserve">product-quality CQAs</w:t>
      </w:r>
      <w:r>
        <w:t xml:space="preserve">, which pass through the operation unchanged, and that the</w:t>
      </w:r>
      <w:r>
        <w:t xml:space="preserve"> </w:t>
      </w:r>
      <w:r>
        <w:t xml:space="preserve">operation robustly delivers a clarified feed of consistent quality to Protein A.</w:t>
      </w:r>
    </w:p>
    <w:p>
      <w:pPr>
        <w:pStyle w:val="BodyText"/>
      </w:pPr>
      <w:r>
        <w:rPr>
          <w:b/>
          <w:bCs/>
        </w:rPr>
        <w:t xml:space="preserve">Key outcomes</w:t>
      </w:r>
    </w:p>
    <w:p>
      <w:pPr>
        <w:pStyle w:val="Compact"/>
        <w:numPr>
          <w:ilvl w:val="0"/>
          <w:numId w:val="1001"/>
        </w:numPr>
      </w:pPr>
      <w:r>
        <w:t xml:space="preserve">No product-quality CQA is set or modified by harvest and clarification; the glycan,</w:t>
      </w:r>
      <w:r>
        <w:t xml:space="preserve"> </w:t>
      </w:r>
      <w:r>
        <w:t xml:space="preserve">charge-variant and aggregate attributes are established upstream and pass through</w:t>
      </w:r>
      <w:r>
        <w:t xml:space="preserve"> </w:t>
      </w:r>
      <w:r>
        <w:t xml:space="preserve">unchanged, and the HCP/DNA load is formed upstream and cleared downstream.</w:t>
      </w:r>
    </w:p>
    <w:p>
      <w:pPr>
        <w:pStyle w:val="Compact"/>
        <w:numPr>
          <w:ilvl w:val="0"/>
          <w:numId w:val="1001"/>
        </w:numPr>
      </w:pPr>
      <w:r>
        <w:t xml:space="preserve">The clarification step yield is</w:t>
      </w:r>
      <w:r>
        <w:t xml:space="preserve"> </w:t>
      </w:r>
      <w:r>
        <w:rPr>
          <w:b/>
          <w:bCs/>
        </w:rPr>
        <w:t xml:space="preserve">97.7%</w:t>
      </w:r>
      <w:r>
        <w:t xml:space="preserve"> </w:t>
      </w:r>
      <w:r>
        <w:t xml:space="preserve">at the nominal condition</w:t>
      </w:r>
      <w:r>
        <w:t xml:space="preserve"> </w:t>
      </w:r>
      <w:r>
        <w:t xml:space="preserve">(65,596 g product mass in, 64,071 g out), preserving cumulative process</w:t>
      </w:r>
      <w:r>
        <w:t xml:space="preserve"> </w:t>
      </w:r>
      <w:r>
        <w:t xml:space="preserve">yield at</w:t>
      </w:r>
      <w:r>
        <w:t xml:space="preserve"> </w:t>
      </w:r>
      <w:r>
        <w:rPr>
          <w:b/>
          <w:bCs/>
        </w:rPr>
        <w:t xml:space="preserve">97.7%</w:t>
      </w:r>
      <w:r>
        <w:t xml:space="preserve"> </w:t>
      </w:r>
      <w:r>
        <w:t xml:space="preserve">through Step 4.</w:t>
      </w:r>
    </w:p>
    <w:p>
      <w:pPr>
        <w:pStyle w:val="Compact"/>
        <w:numPr>
          <w:ilvl w:val="0"/>
          <w:numId w:val="1001"/>
        </w:numPr>
      </w:pPr>
      <w:r>
        <w:t xml:space="preserve">The post-clarification turbidity is</w:t>
      </w:r>
      <w:r>
        <w:t xml:space="preserve"> </w:t>
      </w:r>
      <w:r>
        <w:rPr>
          <w:b/>
          <w:bCs/>
        </w:rPr>
        <w:t xml:space="preserve">5 NTU</w:t>
      </w:r>
      <w:r>
        <w:t xml:space="preserve">, within its</w:t>
      </w:r>
      <w:r>
        <w:t xml:space="preserve"> </w:t>
      </w:r>
      <w:r>
        <w:t xml:space="preserve">1–10 NTU normal operating range, confirming a consistent,</w:t>
      </w:r>
      <w:r>
        <w:t xml:space="preserve"> </w:t>
      </w:r>
      <w:r>
        <w:t xml:space="preserve">low-turbidity feed to Protein A.</w:t>
      </w:r>
    </w:p>
    <w:p>
      <w:pPr>
        <w:pStyle w:val="Compact"/>
        <w:numPr>
          <w:ilvl w:val="0"/>
          <w:numId w:val="1001"/>
        </w:numPr>
      </w:pPr>
      <w:r>
        <w:t xml:space="preserve">Centrifugation force and depth-filter load are classified</w:t>
      </w:r>
      <w:r>
        <w:t xml:space="preserve"> </w:t>
      </w:r>
      <w:r>
        <w:rPr>
          <w:b/>
          <w:bCs/>
        </w:rPr>
        <w:t xml:space="preserve">KPP</w:t>
      </w:r>
      <w:r>
        <w:t xml:space="preserve"> </w:t>
      </w:r>
      <w:r>
        <w:t xml:space="preserve">(they govern</w:t>
      </w:r>
      <w:r>
        <w:t xml:space="preserve"> </w:t>
      </w:r>
      <w:r>
        <w:t xml:space="preserve">recovery and feed clarity without a CQA impact); post-clarification turbidity is a</w:t>
      </w:r>
      <w:r>
        <w:t xml:space="preserve"> </w:t>
      </w:r>
      <w:r>
        <w:t xml:space="preserve">monitored</w:t>
      </w:r>
      <w:r>
        <w:t xml:space="preserve"> </w:t>
      </w:r>
      <w:r>
        <w:rPr>
          <w:b/>
          <w:bCs/>
        </w:rPr>
        <w:t xml:space="preserve">GPP</w:t>
      </w:r>
      <w:r>
        <w:t xml:space="preserve">. No parameter is a CPP.</w:t>
      </w:r>
    </w:p>
    <w:p>
      <w:pPr>
        <w:pStyle w:val="FirstParagraph"/>
      </w:pPr>
      <w:r>
        <w:t xml:space="preserve">The harvest and clarification operation is demonstrated to be well understood and</w:t>
      </w:r>
      <w:r>
        <w:t xml:space="preserve"> </w:t>
      </w:r>
      <w:r>
        <w:t xml:space="preserve">robust. Because it forms no product-quality attribute, its parameter ranges and</w:t>
      </w:r>
      <w:r>
        <w:t xml:space="preserve"> </w:t>
      </w:r>
      <w:r>
        <w:t xml:space="preserve">control are justified on process-performance grounds, and this report rolls up into</w:t>
      </w:r>
      <w:r>
        <w:t xml:space="preserve"> </w:t>
      </w:r>
      <w:r>
        <w:t xml:space="preserve">the Process Characterization Master Report (</w:t>
      </w:r>
      <w:r>
        <w:rPr>
          <w:b/>
          <w:bCs/>
        </w:rPr>
        <w:t xml:space="preserve">PCMR-001</w:t>
      </w:r>
      <w:r>
        <w:t xml:space="preserve">).</w:t>
      </w:r>
    </w:p>
    <w:bookmarkEnd w:id="12"/>
    <w:bookmarkStart w:id="16" w:name="introduction"/>
    <w:p>
      <w:pPr>
        <w:pStyle w:val="Heading1"/>
      </w:pPr>
      <w:r>
        <w:t xml:space="preserve">1. Introduction</w:t>
      </w:r>
    </w:p>
    <w:bookmarkStart w:id="13" w:name="product-and-unit-operation"/>
    <w:p>
      <w:pPr>
        <w:pStyle w:val="Heading2"/>
      </w:pPr>
      <w:r>
        <w:t xml:space="preserve">1.1 Product and unit operation</w:t>
      </w:r>
    </w:p>
    <w:p>
      <w:pPr>
        <w:pStyle w:val="FirstParagraph"/>
      </w:pPr>
      <w:r>
        <w:t xml:space="preserve">A-Mab is a humanized IgG1 monoclonal antibody whose product-quality attributes —</w:t>
      </w:r>
      <w:r>
        <w:t xml:space="preserve"> </w:t>
      </w:r>
      <w:r>
        <w:t xml:space="preserve">Fc N-glycosylation, charge variants and aggregate — are established in the production</w:t>
      </w:r>
      <w:r>
        <w:t xml:space="preserve"> </w:t>
      </w:r>
      <w:r>
        <w:t xml:space="preserve">bioreactor and controlled through the purification train</w:t>
      </w:r>
      <w:r>
        <w:t xml:space="preserve"> </w:t>
      </w:r>
      <w:r>
        <w:t xml:space="preserve">(CMC Biotech Working Group 2009)</w:t>
      </w:r>
      <w:r>
        <w:t xml:space="preserve">. Harvest and</w:t>
      </w:r>
      <w:r>
        <w:t xml:space="preserve"> </w:t>
      </w:r>
      <w:r>
        <w:t xml:space="preserve">clarification is the primary-recovery operation that separates the</w:t>
      </w:r>
      <w:r>
        <w:t xml:space="preserve"> </w:t>
      </w:r>
      <w:r>
        <w:t xml:space="preserve">antibody-containing supernatant from the cells and cell debris of the fed-batch</w:t>
      </w:r>
      <w:r>
        <w:t xml:space="preserve"> </w:t>
      </w:r>
      <w:r>
        <w:t xml:space="preserve">culture and delivers a clarified feed to the Protein A capture step. In the A-Mab</w:t>
      </w:r>
      <w:r>
        <w:t xml:space="preserve"> </w:t>
      </w:r>
      <w:r>
        <w:t xml:space="preserve">platform it comprises continuous disk-stack centrifugation followed by depth-filter</w:t>
      </w:r>
      <w:r>
        <w:t xml:space="preserve"> </w:t>
      </w:r>
      <w:r>
        <w:t xml:space="preserve">and sterile-filter clarification. The operation removes cells and particulates but</w:t>
      </w:r>
      <w:r>
        <w:t xml:space="preserve"> </w:t>
      </w:r>
      <w:r>
        <w:t xml:space="preserve">does not form, remove or modify any product-quality attribute; it is therefore</w:t>
      </w:r>
      <w:r>
        <w:t xml:space="preserve"> </w:t>
      </w:r>
      <w:r>
        <w:t xml:space="preserve">characterized as a process-performance operation.</w:t>
      </w:r>
    </w:p>
    <w:bookmarkEnd w:id="13"/>
    <w:bookmarkStart w:id="14" w:name="objectives"/>
    <w:p>
      <w:pPr>
        <w:pStyle w:val="Heading2"/>
      </w:pPr>
      <w:r>
        <w:t xml:space="preserve">1.2 Objectives</w:t>
      </w:r>
    </w:p>
    <w:p>
      <w:pPr>
        <w:pStyle w:val="FirstParagraph"/>
      </w:pPr>
      <w:r>
        <w:t xml:space="preserve">The objectives of the study were to (i) confirm that harvest and clarification has no</w:t>
      </w:r>
      <w:r>
        <w:t xml:space="preserve"> </w:t>
      </w:r>
      <w:r>
        <w:t xml:space="preserve">impact on the product-quality CQAs; (ii) establish the effect of the operating</w:t>
      </w:r>
      <w:r>
        <w:t xml:space="preserve"> </w:t>
      </w:r>
      <w:r>
        <w:t xml:space="preserve">parameters on product yield, post-clarification turbidity and depth-filter</w:t>
      </w:r>
      <w:r>
        <w:t xml:space="preserve"> </w:t>
      </w:r>
      <w:r>
        <w:t xml:space="preserve">throughput; (iii) confirm that a clarified feed of consistent quality is delivered to</w:t>
      </w:r>
      <w:r>
        <w:t xml:space="preserve"> </w:t>
      </w:r>
      <w:r>
        <w:t xml:space="preserve">Protein A across the operating ranges; (iv) establish proven acceptable ranges (PARs)</w:t>
      </w:r>
      <w:r>
        <w:t xml:space="preserve"> </w:t>
      </w:r>
      <w:r>
        <w:t xml:space="preserve">and normal operating ranges (NORs) for each parameter; and (v) classify each</w:t>
      </w:r>
      <w:r>
        <w:t xml:space="preserve"> </w:t>
      </w:r>
      <w:r>
        <w:t xml:space="preserve">parameter and provide the ranges that justify the Stage 2 operating conditions and</w:t>
      </w:r>
      <w:r>
        <w:t xml:space="preserve"> </w:t>
      </w:r>
      <w:r>
        <w:t xml:space="preserve">the control strategy.</w:t>
      </w:r>
    </w:p>
    <w:bookmarkEnd w:id="14"/>
    <w:bookmarkStart w:id="15" w:name="regulatory-and-scientific-basis"/>
    <w:p>
      <w:pPr>
        <w:pStyle w:val="Heading2"/>
      </w:pPr>
      <w:r>
        <w:t xml:space="preserve">1.3 Regulatory and scientific basis</w:t>
      </w:r>
    </w:p>
    <w:p>
      <w:pPr>
        <w:pStyle w:val="FirstParagraph"/>
      </w:pPr>
      <w:r>
        <w:t xml:space="preserve">The work follows the lifecycle approach to process validation of the FDA 2011</w:t>
      </w:r>
      <w:r>
        <w:t xml:space="preserve"> </w:t>
      </w:r>
      <w:r>
        <w:t xml:space="preserve">guidance</w:t>
      </w:r>
      <w:r>
        <w:t xml:space="preserve"> </w:t>
      </w:r>
      <w:r>
        <w:t xml:space="preserve">(U.S. Food and Drug Administration 2011)</w:t>
      </w:r>
      <w:r>
        <w:t xml:space="preserve">, PDA Technical Report 60</w:t>
      </w:r>
      <w:r>
        <w:t xml:space="preserve"> </w:t>
      </w:r>
      <w:r>
        <w:t xml:space="preserve">(Parenteral Drug Association 2013)</w:t>
      </w:r>
      <w:r>
        <w:t xml:space="preserve"> </w:t>
      </w:r>
      <w:r>
        <w:t xml:space="preserve">and the ISPE Good Practice</w:t>
      </w:r>
      <w:r>
        <w:t xml:space="preserve"> </w:t>
      </w:r>
      <w:r>
        <w:t xml:space="preserve">Guide</w:t>
      </w:r>
      <w:r>
        <w:t xml:space="preserve"> </w:t>
      </w:r>
      <w:r>
        <w:t xml:space="preserve">(International Society for Pharmaceutical Engineering 2023)</w:t>
      </w:r>
      <w:r>
        <w:t xml:space="preserve">, and applies the enhanced (QbD) development approach of ICH Q8,</w:t>
      </w:r>
      <w:r>
        <w:t xml:space="preserve"> </w:t>
      </w:r>
      <w:r>
        <w:t xml:space="preserve">Q9 and Q11</w:t>
      </w:r>
      <w:r>
        <w:t xml:space="preserve"> </w:t>
      </w:r>
      <w:r>
        <w:t xml:space="preserve">(International Council for Harmonisation 2009, 2023, 2012)</w:t>
      </w:r>
      <w:r>
        <w:t xml:space="preserve">. Criticality is treated as a continuum</w:t>
      </w:r>
      <w:r>
        <w:t xml:space="preserve"> </w:t>
      </w:r>
      <w:r>
        <w:t xml:space="preserve">(ICH Q9). The report structure corresponds to the Stage 1 Process Design Report of</w:t>
      </w:r>
      <w:r>
        <w:t xml:space="preserve"> </w:t>
      </w:r>
      <w:r>
        <w:t xml:space="preserve">PDA TR 60 §3.11 and provides development-report content suitable to support a</w:t>
      </w:r>
      <w:r>
        <w:t xml:space="preserve"> </w:t>
      </w:r>
      <w:r>
        <w:t xml:space="preserve">Biologics License Application; it is correspondingly focused, because the operation</w:t>
      </w:r>
      <w:r>
        <w:t xml:space="preserve"> </w:t>
      </w:r>
      <w:r>
        <w:t xml:space="preserve">forms no CQA and therefore requires no designed multivariate experiment.</w:t>
      </w:r>
    </w:p>
    <w:bookmarkEnd w:id="15"/>
    <w:bookmarkEnd w:id="16"/>
    <w:bookmarkStart w:id="21" w:name="prior-knowledge-and-quality-risk-basis"/>
    <w:p>
      <w:pPr>
        <w:pStyle w:val="Heading1"/>
      </w:pPr>
      <w:r>
        <w:t xml:space="preserve">2. Prior knowledge and quality risk basis</w:t>
      </w:r>
    </w:p>
    <w:bookmarkStart w:id="17" w:name="platform-and-prior-product-knowledge"/>
    <w:p>
      <w:pPr>
        <w:pStyle w:val="Heading2"/>
      </w:pPr>
      <w:r>
        <w:t xml:space="preserve">2.1 Platform and prior-product knowledge</w:t>
      </w:r>
    </w:p>
    <w:p>
      <w:pPr>
        <w:pStyle w:val="FirstParagraph"/>
      </w:pPr>
      <w:r>
        <w:t xml:space="preserve">The characterization ranges and set-points are supported by platform knowledge from</w:t>
      </w:r>
      <w:r>
        <w:t xml:space="preserve"> </w:t>
      </w:r>
      <w:r>
        <w:t xml:space="preserve">related humanized IgG1 antibodies and by A-Mab development and engineering experience</w:t>
      </w:r>
      <w:r>
        <w:t xml:space="preserve"> </w:t>
      </w:r>
      <w:r>
        <w:t xml:space="preserve">(CMC Biotech Working Group 2009)</w:t>
      </w:r>
      <w:r>
        <w:t xml:space="preserve">. Prior knowledge established that the glycan, charge-variant and aggregate</w:t>
      </w:r>
      <w:r>
        <w:t xml:space="preserve"> </w:t>
      </w:r>
      <w:r>
        <w:t xml:space="preserve">CQAs are set in cell culture and that the harvest HCP and DNA burden is generated</w:t>
      </w:r>
      <w:r>
        <w:t xml:space="preserve"> </w:t>
      </w:r>
      <w:r>
        <w:t xml:space="preserve">upstream and cleared by the purification train; harvest neither sets nor clears these</w:t>
      </w:r>
      <w:r>
        <w:t xml:space="preserve"> </w:t>
      </w:r>
      <w:r>
        <w:t xml:space="preserve">attributes. This knowledge framed the process-performance measures in scope and the</w:t>
      </w:r>
      <w:r>
        <w:t xml:space="preserve"> </w:t>
      </w:r>
      <w:r>
        <w:t xml:space="preserve">decision to characterize the operation univariately.</w:t>
      </w:r>
    </w:p>
    <w:bookmarkEnd w:id="17"/>
    <w:bookmarkStart w:id="19" w:name="X691cbf76c2291c519056583d65ff05b507644cc"/>
    <w:p>
      <w:pPr>
        <w:pStyle w:val="Heading2"/>
      </w:pPr>
      <w:r>
        <w:t xml:space="preserve">2.2 Quality attributes and process-performance measures</w:t>
      </w:r>
    </w:p>
    <w:p>
      <w:pPr>
        <w:pStyle w:val="FirstParagraph"/>
      </w:pPr>
      <w:r>
        <w:t xml:space="preserve">Harvest and clarification</w:t>
      </w:r>
      <w:r>
        <w:t xml:space="preserve"> </w:t>
      </w:r>
      <w:r>
        <w:rPr>
          <w:b/>
          <w:bCs/>
        </w:rPr>
        <w:t xml:space="preserve">sets or modifies no product-quality CQA</w:t>
      </w:r>
      <w:r>
        <w:t xml:space="preserve">; the CQAs</w:t>
      </w:r>
      <w:r>
        <w:t xml:space="preserve"> </w:t>
      </w:r>
      <w:r>
        <w:t xml:space="preserve">established in the production bioreactor pass through the operation unchanged. The</w:t>
      </w:r>
      <w:r>
        <w:t xml:space="preserve"> </w:t>
      </w:r>
      <w:r>
        <w:t xml:space="preserve">operation was therefore characterized against the process-performance measures it</w:t>
      </w:r>
      <w:r>
        <w:t xml:space="preserve"> </w:t>
      </w:r>
      <w:r>
        <w:t xml:space="preserve">governs (</w:t>
      </w:r>
      <w:hyperlink w:anchor="tbl-perf">
        <w:r>
          <w:rPr>
            <w:rStyle w:val="Hyperlink"/>
          </w:rPr>
          <w:t xml:space="preserve">Table 2</w:t>
        </w:r>
      </w:hyperlink>
      <w:r>
        <w:t xml:space="preserve">): product (step) yield, post-clarification turbidity (feed clarity</w:t>
      </w:r>
      <w:r>
        <w:t xml:space="preserve"> </w:t>
      </w:r>
      <w:r>
        <w:t xml:space="preserve">to Protein A) and depth-filter throughput. The impurity load presented to Protein A —</w:t>
      </w:r>
      <w:r>
        <w:t xml:space="preserve"> </w:t>
      </w:r>
      <w:r>
        <w:t xml:space="preserve">the harvest HCP and residual DNA formed upstream — was monitored to confirm feed</w:t>
      </w:r>
      <w:r>
        <w:t xml:space="preserve"> </w:t>
      </w:r>
      <w:r>
        <w:t xml:space="preserve">consistency but is not an attribute this step controls.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perf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Process-performance measures characterized for harvest and clarification (no product-quality CQA is set by this step).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562"/>
              <w:gridCol w:w="2407"/>
              <w:gridCol w:w="295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Process-performance measure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Result at nominal condition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Basis / criterion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Clarification step yield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97.7%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Mass balance across primary recovery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5 NTU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 NOR 1–10 NTU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Depth-filter throughput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Within capacity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Filter sizing / no breakthrough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Harvest HCP / residual-DNA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Monitored (consistent)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Formed upstream; cleared downstream</w:t>
                  </w:r>
                </w:p>
              </w:tc>
            </w:tr>
          </w:tbl>
          <w:bookmarkEnd w:id="18"/>
          <w:p/>
        </w:tc>
      </w:tr>
    </w:tbl>
    <w:bookmarkEnd w:id="19"/>
    <w:bookmarkStart w:id="20" w:name="X8e350aaf11e00001962f0e94cfe08bc5c1a6d7b"/>
    <w:p>
      <w:pPr>
        <w:pStyle w:val="Heading2"/>
      </w:pPr>
      <w:r>
        <w:t xml:space="preserve">2.3 Risk-based prioritization and parameter selection</w:t>
      </w:r>
    </w:p>
    <w:p>
      <w:pPr>
        <w:pStyle w:val="FirstParagraph"/>
      </w:pPr>
      <w:r>
        <w:t xml:space="preserve">Consistent with the A-Mab lifecycle of iterative risk assessments, the</w:t>
      </w:r>
      <w:r>
        <w:t xml:space="preserve"> </w:t>
      </w:r>
      <w:r>
        <w:t xml:space="preserve">characterization scope was set by the Pre-Characterization Process Risk Assessment</w:t>
      </w:r>
      <w:r>
        <w:t xml:space="preserve"> </w:t>
      </w:r>
      <w:r>
        <w:t xml:space="preserve">(</w:t>
      </w:r>
      <w:r>
        <w:rPr>
          <w:b/>
          <w:bCs/>
        </w:rPr>
        <w:t xml:space="preserve">RA-001</w:t>
      </w:r>
      <w:r>
        <w:t xml:space="preserve">). Because harvest and clarification carries no credible risk of impact to</w:t>
      </w:r>
      <w:r>
        <w:t xml:space="preserve"> </w:t>
      </w:r>
      <w:r>
        <w:t xml:space="preserve">a product-quality CQA, none of its parameters was assigned to a multivariate design of</w:t>
      </w:r>
      <w:r>
        <w:t xml:space="preserve"> </w:t>
      </w:r>
      <w:r>
        <w:t xml:space="preserve">experiments; each parameter was studied one factor at a time across its</w:t>
      </w:r>
      <w:r>
        <w:t xml:space="preserve"> </w:t>
      </w:r>
      <w:r>
        <w:t xml:space="preserve">characterization range for its effect on the process-performance measures. The</w:t>
      </w:r>
      <w:r>
        <w:t xml:space="preserve"> </w:t>
      </w:r>
      <w:r>
        <w:t xml:space="preserve">parameters and ranges carried into this study are given in</w:t>
      </w:r>
      <w:r>
        <w:t xml:space="preserve"> 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.</w:t>
      </w:r>
    </w:p>
    <w:bookmarkEnd w:id="20"/>
    <w:bookmarkEnd w:id="21"/>
    <w:bookmarkStart w:id="28" w:name="materials-and-methods"/>
    <w:p>
      <w:pPr>
        <w:pStyle w:val="Heading1"/>
      </w:pPr>
      <w:r>
        <w:t xml:space="preserve">3. Materials and methods</w:t>
      </w:r>
    </w:p>
    <w:bookmarkStart w:id="22" w:name="scale-down-model-and-its-qualification"/>
    <w:p>
      <w:pPr>
        <w:pStyle w:val="Heading2"/>
      </w:pPr>
      <w:r>
        <w:t xml:space="preserve">3.1 Scale-down model and its qualification</w:t>
      </w:r>
    </w:p>
    <w:p>
      <w:pPr>
        <w:pStyle w:val="FirstParagraph"/>
      </w:pPr>
      <w:r>
        <w:t xml:space="preserve">All characterization runs were performed on a qualified bench-scale clarification</w:t>
      </w:r>
      <w:r>
        <w:t xml:space="preserve"> </w:t>
      </w:r>
      <w:r>
        <w:t xml:space="preserve">model representing the commercial primary-recovery train — a laboratory disk-stack (or</w:t>
      </w:r>
      <w:r>
        <w:t xml:space="preserve"> </w:t>
      </w:r>
      <w:r>
        <w:t xml:space="preserve">equivalent bench) centrifuge operated at the commercial-equivalent relative</w:t>
      </w:r>
      <w:r>
        <w:t xml:space="preserve"> </w:t>
      </w:r>
      <w:r>
        <w:t xml:space="preserve">centrifugal force and feed-solids loading, followed by scaled-down depth and sterile</w:t>
      </w:r>
      <w:r>
        <w:t xml:space="preserve"> </w:t>
      </w:r>
      <w:r>
        <w:t xml:space="preserve">filters of the platform media at the commercial area-normalized load (</w:t>
      </w:r>
      <w:r>
        <w:rPr>
          <w:b/>
          <w:bCs/>
        </w:rPr>
        <w:t xml:space="preserve">SOP-2005</w:t>
      </w:r>
      <w:r>
        <w:t xml:space="preserve">,</w:t>
      </w:r>
      <w:r>
        <w:t xml:space="preserve"> </w:t>
      </w:r>
      <w:r>
        <w:rPr>
          <w:b/>
          <w:bCs/>
        </w:rPr>
        <w:t xml:space="preserve">SOP-2006</w:t>
      </w:r>
      <w:r>
        <w:t xml:space="preserve">). The model was qualified against at-scale reference data (</w:t>
      </w:r>
      <w:r>
        <w:rPr>
          <w:b/>
          <w:bCs/>
        </w:rPr>
        <w:t xml:space="preserve">SOP-1001</w:t>
      </w:r>
      <w:r>
        <w:t xml:space="preserve">)</w:t>
      </w:r>
      <w:r>
        <w:t xml:space="preserve"> </w:t>
      </w:r>
      <w:r>
        <w:t xml:space="preserve">by comparing centrate and filtrate turbidity, product yield and the HCP/DNA load</w:t>
      </w:r>
      <w:r>
        <w:t xml:space="preserve"> </w:t>
      </w:r>
      <w:r>
        <w:t xml:space="preserve">presented to Protein A, confirming that the model is representative and suitable to</w:t>
      </w:r>
      <w:r>
        <w:t xml:space="preserve"> </w:t>
      </w:r>
      <w:r>
        <w:t xml:space="preserve">support the parameter ranges</w:t>
      </w:r>
      <w:r>
        <w:t xml:space="preserve"> </w:t>
      </w:r>
      <w:r>
        <w:t xml:space="preserve">(Parenteral Drug Association 2013)</w:t>
      </w:r>
      <w:r>
        <w:t xml:space="preserve">.</w:t>
      </w:r>
    </w:p>
    <w:bookmarkEnd w:id="22"/>
    <w:bookmarkStart w:id="23" w:name="operation"/>
    <w:p>
      <w:pPr>
        <w:pStyle w:val="Heading2"/>
      </w:pPr>
      <w:r>
        <w:t xml:space="preserve">3.2 Operation</w:t>
      </w:r>
    </w:p>
    <w:p>
      <w:pPr>
        <w:pStyle w:val="FirstParagraph"/>
      </w:pPr>
      <w:r>
        <w:t xml:space="preserve">Harvest was initiated on the nominal duration criterion of the production culture. The</w:t>
      </w:r>
      <w:r>
        <w:t xml:space="preserve"> </w:t>
      </w:r>
      <w:r>
        <w:t xml:space="preserve">culture was clarified by continuous centrifugation to remove cells and large debris,</w:t>
      </w:r>
      <w:r>
        <w:t xml:space="preserve"> </w:t>
      </w:r>
      <w:r>
        <w:t xml:space="preserve">and the centrate was passed through a depth filter and a sterile</w:t>
      </w:r>
      <w:r>
        <w:t xml:space="preserve"> </w:t>
      </w:r>
      <w:r>
        <w:t xml:space="preserve">(bioburden-reduction) filter to remove residual particulates before capture. The</w:t>
      </w:r>
      <w:r>
        <w:t xml:space="preserve"> </w:t>
      </w:r>
      <w:r>
        <w:t xml:space="preserve">relative centrifugal force, the area-normalized depth-filter load and the resulting</w:t>
      </w:r>
      <w:r>
        <w:t xml:space="preserve"> </w:t>
      </w:r>
      <w:r>
        <w:t xml:space="preserve">post-clarification turbidity were the operating variables. Buffers, filters and media</w:t>
      </w:r>
      <w:r>
        <w:t xml:space="preserve"> </w:t>
      </w:r>
      <w:r>
        <w:t xml:space="preserve">were controlled to platform specifications and treated as identity/quality-controlled</w:t>
      </w:r>
      <w:r>
        <w:t xml:space="preserve"> </w:t>
      </w:r>
      <w:r>
        <w:t xml:space="preserve">inputs rather than characterized variables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23"/>
    <w:bookmarkStart w:id="25" w:name="analytical-methods"/>
    <w:p>
      <w:pPr>
        <w:pStyle w:val="Heading2"/>
      </w:pPr>
      <w:r>
        <w:t xml:space="preserve">3.3 Analytical methods</w:t>
      </w:r>
    </w:p>
    <w:p>
      <w:pPr>
        <w:pStyle w:val="FirstParagraph"/>
      </w:pPr>
      <w:r>
        <w:t xml:space="preserve">Feed clarity and the feed impurity load were measured by validated methods</w:t>
      </w:r>
      <w:r>
        <w:t xml:space="preserve"> </w:t>
      </w:r>
      <w:r>
        <w:t xml:space="preserve">(</w:t>
      </w:r>
      <w:hyperlink w:anchor="tbl-methods">
        <w:r>
          <w:rPr>
            <w:rStyle w:val="Hyperlink"/>
          </w:rPr>
          <w:t xml:space="preserve">Table 3</w:t>
        </w:r>
      </w:hyperlink>
      <w:r>
        <w:t xml:space="preserve">). Post-clarification turbidity was determined by nephelometry</w:t>
      </w:r>
      <w:r>
        <w:t xml:space="preserve"> </w:t>
      </w:r>
      <w:r>
        <w:t xml:space="preserve">(</w:t>
      </w:r>
      <w:r>
        <w:rPr>
          <w:b/>
          <w:bCs/>
        </w:rPr>
        <w:t xml:space="preserve">AMV-3015</w:t>
      </w:r>
      <w:r>
        <w:t xml:space="preserve">); HCP by ELISA (</w:t>
      </w:r>
      <w:r>
        <w:rPr>
          <w:b/>
          <w:bCs/>
        </w:rPr>
        <w:t xml:space="preserve">AMV-3012</w:t>
      </w:r>
      <w:r>
        <w:t xml:space="preserve">); residual host-cell DNA by qPCR</w:t>
      </w:r>
      <w:r>
        <w:t xml:space="preserve"> </w:t>
      </w:r>
      <w:r>
        <w:t xml:space="preserve">(</w:t>
      </w:r>
      <w:r>
        <w:rPr>
          <w:b/>
          <w:bCs/>
        </w:rPr>
        <w:t xml:space="preserve">AMV-3014</w:t>
      </w:r>
      <w:r>
        <w:t xml:space="preserve">); and size variants (aggregate/HMW) by SEC-HPLC (</w:t>
      </w:r>
      <w:r>
        <w:rPr>
          <w:b/>
          <w:bCs/>
        </w:rPr>
        <w:t xml:space="preserve">AMV-3011</w:t>
      </w:r>
      <w:r>
        <w:t xml:space="preserve">) to</w:t>
      </w:r>
      <w:r>
        <w:t xml:space="preserve"> </w:t>
      </w:r>
      <w:r>
        <w:t xml:space="preserve">confirm the aggregate attribute is unchanged. Method performance characteristics are</w:t>
      </w:r>
      <w:r>
        <w:t xml:space="preserve"> </w:t>
      </w:r>
      <w:r>
        <w:t xml:space="preserve">summarized in Appendix B.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metho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Validated analytical methods used in the characterization.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Reference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Title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Turbidity by Nephelometry (NTU)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Host-Cell Protein ELISA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Residual DNA (qPCR)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Size-Variants (SEC-HPLC)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Method validation</w:t>
                  </w:r>
                </w:p>
              </w:tc>
            </w:tr>
          </w:tbl>
          <w:bookmarkEnd w:id="24"/>
          <w:p/>
        </w:tc>
      </w:tr>
    </w:tbl>
    <w:bookmarkEnd w:id="25"/>
    <w:bookmarkStart w:id="26" w:name="sampling-plan"/>
    <w:p>
      <w:pPr>
        <w:pStyle w:val="Heading2"/>
      </w:pPr>
      <w:r>
        <w:t xml:space="preserve">3.4 Sampling plan</w:t>
      </w:r>
    </w:p>
    <w:p>
      <w:pPr>
        <w:pStyle w:val="FirstParagraph"/>
      </w:pPr>
      <w:r>
        <w:t xml:space="preserve">Each characterization run was sampled at the clarified-pool stage for</w:t>
      </w:r>
      <w:r>
        <w:t xml:space="preserve"> </w:t>
      </w:r>
      <w:r>
        <w:t xml:space="preserve">post-clarification turbidity and for the harvest HCP and residual-DNA load, and the</w:t>
      </w:r>
      <w:r>
        <w:t xml:space="preserve"> </w:t>
      </w:r>
      <w:r>
        <w:t xml:space="preserve">product mass across the operation was recorded for the step-yield calculation. The</w:t>
      </w:r>
      <w:r>
        <w:t xml:space="preserve"> </w:t>
      </w:r>
      <w:r>
        <w:t xml:space="preserve">depth-filter pressure/throughput profile was recorded to confirm filter capacity. Runs</w:t>
      </w:r>
      <w:r>
        <w:t xml:space="preserve"> </w:t>
      </w:r>
      <w:r>
        <w:t xml:space="preserve">at the parameter set-points were replicated to quantify the reproducibility of yield</w:t>
      </w:r>
      <w:r>
        <w:t xml:space="preserve"> </w:t>
      </w:r>
      <w:r>
        <w:t xml:space="preserve">and turbidity.</w:t>
      </w:r>
    </w:p>
    <w:bookmarkEnd w:id="26"/>
    <w:bookmarkStart w:id="27" w:name="statistical-methods"/>
    <w:p>
      <w:pPr>
        <w:pStyle w:val="Heading2"/>
      </w:pPr>
      <w:r>
        <w:t xml:space="preserve">3.5 Statistical methods</w:t>
      </w:r>
    </w:p>
    <w:p>
      <w:pPr>
        <w:pStyle w:val="FirstParagraph"/>
      </w:pPr>
      <w:r>
        <w:t xml:space="preserve">Because no product-quality CQA is affected, the operation was characterized</w:t>
      </w:r>
      <w:r>
        <w:t xml:space="preserve"> </w:t>
      </w:r>
      <w:r>
        <w:t xml:space="preserve">univariately rather than by a designed experiment. Each parameter was varied one</w:t>
      </w:r>
      <w:r>
        <w:t xml:space="preserve"> </w:t>
      </w:r>
      <w:r>
        <w:t xml:space="preserve">factor at a time across its characterization range, holding the others at their</w:t>
      </w:r>
      <w:r>
        <w:t xml:space="preserve"> </w:t>
      </w:r>
      <w:r>
        <w:t xml:space="preserve">set-points, and the process-performance measures — step yield, post-clarification</w:t>
      </w:r>
      <w:r>
        <w:t xml:space="preserve"> </w:t>
      </w:r>
      <w:r>
        <w:t xml:space="preserve">turbidity and depth-filter throughput — were summarized against the parameter level.</w:t>
      </w:r>
      <w:r>
        <w:t xml:space="preserve"> </w:t>
      </w:r>
      <w:r>
        <w:t xml:space="preserve">Reproducibility of yield and turbidity was estimated from the replicated set-point</w:t>
      </w:r>
      <w:r>
        <w:t xml:space="preserve"> </w:t>
      </w:r>
      <w:r>
        <w:t xml:space="preserve">runs. Parameter ranges were judged acceptable where the performance measures remained</w:t>
      </w:r>
      <w:r>
        <w:t xml:space="preserve"> </w:t>
      </w:r>
      <w:r>
        <w:t xml:space="preserve">within their platform targets and the product-quality CQAs were unchanged.</w:t>
      </w:r>
    </w:p>
    <w:bookmarkEnd w:id="27"/>
    <w:bookmarkEnd w:id="28"/>
    <w:bookmarkStart w:id="32" w:name="study-design"/>
    <w:p>
      <w:pPr>
        <w:pStyle w:val="Heading1"/>
      </w:pPr>
      <w:r>
        <w:t xml:space="preserve">4. Study design</w:t>
      </w:r>
    </w:p>
    <w:bookmarkStart w:id="30" w:name="Xf1c3c0d05c16969c14f9b52ebf870d135fc1ba2"/>
    <w:p>
      <w:pPr>
        <w:pStyle w:val="Heading2"/>
      </w:pPr>
      <w:r>
        <w:t xml:space="preserve">4.1 Parameters, ranges and the knowledge space</w:t>
      </w:r>
    </w:p>
    <w:p>
      <w:pPr>
        <w:pStyle w:val="FirstParagraph"/>
      </w:pPr>
      <w:r>
        <w:t xml:space="preserve">3 parameters were studied (</w:t>
      </w:r>
      <w:hyperlink w:anchor="tbl-param">
        <w:r>
          <w:rPr>
            <w:rStyle w:val="Hyperlink"/>
          </w:rPr>
          <w:t xml:space="preserve">Table 4</w:t>
        </w:r>
      </w:hyperlink>
      <w:r>
        <w:t xml:space="preserve">). The characterization range</w:t>
      </w:r>
      <w:r>
        <w:t xml:space="preserve"> </w:t>
      </w:r>
      <w:r>
        <w:t xml:space="preserve">of each parameter (</w:t>
      </w:r>
      <w:r>
        <w:t xml:space="preserve">“PAR”</w:t>
      </w:r>
      <w:r>
        <w:t xml:space="preserve"> </w:t>
      </w:r>
      <w:r>
        <w:t xml:space="preserve">column) defines the edges of the explored knowledge space and</w:t>
      </w:r>
      <w:r>
        <w:t xml:space="preserve"> </w:t>
      </w:r>
      <w:r>
        <w:t xml:space="preserve">the basis of the proven acceptable range; the NOR is the tighter range at which the</w:t>
      </w:r>
      <w:r>
        <w:t xml:space="preserve"> </w:t>
      </w:r>
      <w:r>
        <w:t xml:space="preserve">parameter is controlled routinely. Classification is an output of the study</w:t>
      </w:r>
      <w:r>
        <w:t xml:space="preserve"> </w:t>
      </w:r>
      <w:r>
        <w:t xml:space="preserve">(§8).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param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Harvest / clarification process parameters, set-points, ranges and post-characterization classification.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475"/>
              <w:gridCol w:w="660"/>
              <w:gridCol w:w="1072"/>
              <w:gridCol w:w="990"/>
              <w:gridCol w:w="990"/>
              <w:gridCol w:w="742"/>
              <w:gridCol w:w="99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9e+03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L/m2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NTU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univariate-ranging"/>
    <w:p>
      <w:pPr>
        <w:pStyle w:val="Heading2"/>
      </w:pPr>
      <w:r>
        <w:t xml:space="preserve">4.2 Univariate ranging</w:t>
      </w:r>
    </w:p>
    <w:p>
      <w:pPr>
        <w:pStyle w:val="FirstParagraph"/>
      </w:pPr>
      <w:r>
        <w:t xml:space="preserve">Each parameter was evaluated one factor at a time across its characterization range;</w:t>
      </w:r>
      <w:r>
        <w:t xml:space="preserve"> </w:t>
      </w:r>
      <w:r>
        <w:t xml:space="preserve">none was carried into a multivariate design because prior knowledge and the</w:t>
      </w:r>
      <w:r>
        <w:t xml:space="preserve"> </w:t>
      </w:r>
      <w:r>
        <w:t xml:space="preserve">Pre-Characterization Risk Assessment indicated no credible CQA impact. The product-</w:t>
      </w:r>
      <w:r>
        <w:t xml:space="preserve"> </w:t>
      </w:r>
      <w:r>
        <w:t xml:space="preserve">quality CQAs were confirmed unchanged across the ranging.</w:t>
      </w:r>
    </w:p>
    <w:bookmarkEnd w:id="31"/>
    <w:bookmarkEnd w:id="32"/>
    <w:bookmarkStart w:id="36" w:name="results"/>
    <w:p>
      <w:pPr>
        <w:pStyle w:val="Heading1"/>
      </w:pPr>
      <w:r>
        <w:t xml:space="preserve">5. Results</w:t>
      </w:r>
    </w:p>
    <w:bookmarkStart w:id="33" w:name="X33b1880a0e75502b5c024100163610ce883236d"/>
    <w:p>
      <w:pPr>
        <w:pStyle w:val="Heading2"/>
      </w:pPr>
      <w:r>
        <w:t xml:space="preserve">5.1 Clarification performance and reproducibility</w:t>
      </w:r>
    </w:p>
    <w:p>
      <w:pPr>
        <w:pStyle w:val="FirstParagraph"/>
      </w:pPr>
      <w:r>
        <w:t xml:space="preserve">At the nominal (set-point) condition the operation recovered antibody with a</w:t>
      </w:r>
      <w:r>
        <w:t xml:space="preserve"> </w:t>
      </w:r>
      <w:r>
        <w:t xml:space="preserve">clarification step yield of 97.7%</w:t>
      </w:r>
      <w:r>
        <w:t xml:space="preserve"> </w:t>
      </w:r>
      <w:r>
        <w:t xml:space="preserve">(65,596 g product mass in, 64,071 g out),</w:t>
      </w:r>
      <w:r>
        <w:t xml:space="preserve"> </w:t>
      </w:r>
      <w:r>
        <w:t xml:space="preserve">preserving the cumulative process yield at 97.7% through Step 4.</w:t>
      </w:r>
      <w:r>
        <w:t xml:space="preserve"> </w:t>
      </w:r>
      <w:r>
        <w:t xml:space="preserve">The post-clarification turbidity was 5 NTU, within its</w:t>
      </w:r>
      <w:r>
        <w:t xml:space="preserve"> </w:t>
      </w:r>
      <w:r>
        <w:t xml:space="preserve">1–10 NTU normal operating range, and the</w:t>
      </w:r>
      <w:r>
        <w:t xml:space="preserve"> </w:t>
      </w:r>
      <w:r>
        <w:t xml:space="preserve">depth filter operated within its rated capacity without particulate breakthrough. The</w:t>
      </w:r>
      <w:r>
        <w:t xml:space="preserve"> </w:t>
      </w:r>
      <w:r>
        <w:t xml:space="preserve">set-point replicates confirmed that yield and turbidity are reproducible, establishing</w:t>
      </w:r>
      <w:r>
        <w:t xml:space="preserve"> </w:t>
      </w:r>
      <w:r>
        <w:t xml:space="preserve">that the operation delivers a consistent clarified feed to Protein A.</w:t>
      </w:r>
    </w:p>
    <w:bookmarkEnd w:id="33"/>
    <w:bookmarkStart w:id="34" w:name="X5d5c8c8e74357d2be3bcd0cdc2c5ffe9cac5cfa"/>
    <w:p>
      <w:pPr>
        <w:pStyle w:val="Heading2"/>
      </w:pPr>
      <w:r>
        <w:t xml:space="preserve">5.2 Univariate ranging of the operating parameters</w:t>
      </w:r>
    </w:p>
    <w:p>
      <w:pPr>
        <w:pStyle w:val="FirstParagraph"/>
      </w:pPr>
      <w:r>
        <w:t xml:space="preserve">Across the characterization range of each parameter, the process-performance measures</w:t>
      </w:r>
      <w:r>
        <w:t xml:space="preserve"> </w:t>
      </w:r>
      <w:r>
        <w:t xml:space="preserve">remained within their platform targets and the product-quality CQAs were unchanged: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Centrifugation (relative centrifugal force).</w:t>
      </w:r>
      <w:r>
        <w:t xml:space="preserve"> </w:t>
      </w:r>
      <w:r>
        <w:t xml:space="preserve">Increasing the relative</w:t>
      </w:r>
      <w:r>
        <w:t xml:space="preserve"> </w:t>
      </w:r>
      <w:r>
        <w:t xml:space="preserve">centrifugal force across its range improves centrate clarity and reduces the solids</w:t>
      </w:r>
      <w:r>
        <w:t xml:space="preserve"> </w:t>
      </w:r>
      <w:r>
        <w:t xml:space="preserve">load on the depth filter, at the cost of a higher shear/lysis burden; product yield</w:t>
      </w:r>
      <w:r>
        <w:t xml:space="preserve"> </w:t>
      </w:r>
      <w:r>
        <w:t xml:space="preserve">and feed clarity remained acceptable across the range, and the NOR was confirmed as</w:t>
      </w:r>
      <w:r>
        <w:t xml:space="preserve"> </w:t>
      </w:r>
      <w:r>
        <w:t xml:space="preserve">the routine-control window that balances clarity against cell lysis.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Depth-filter load (area-normalized).</w:t>
      </w:r>
      <w:r>
        <w:t xml:space="preserve"> </w:t>
      </w:r>
      <w:r>
        <w:t xml:space="preserve">Increasing the area-normalized load reduces</w:t>
      </w:r>
      <w:r>
        <w:t xml:space="preserve"> </w:t>
      </w:r>
      <w:r>
        <w:t xml:space="preserve">the required filter area but raises filtrate turbidity and the risk of particulate</w:t>
      </w:r>
      <w:r>
        <w:t xml:space="preserve"> </w:t>
      </w:r>
      <w:r>
        <w:t xml:space="preserve">breakthrough and pressure-driven yield loss near capacity; turbidity and yield</w:t>
      </w:r>
      <w:r>
        <w:t xml:space="preserve"> </w:t>
      </w:r>
      <w:r>
        <w:t xml:space="preserve">remained within target across the range, and the NOR was confirmed as the window</w:t>
      </w:r>
      <w:r>
        <w:t xml:space="preserve"> </w:t>
      </w:r>
      <w:r>
        <w:t xml:space="preserve">that preserves filter capacity and feed clarity.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Post-clarification turbidity.</w:t>
      </w:r>
      <w:r>
        <w:t xml:space="preserve"> </w:t>
      </w:r>
      <w:r>
        <w:t xml:space="preserve">As the controlled output attribute of the</w:t>
      </w:r>
      <w:r>
        <w:t xml:space="preserve"> </w:t>
      </w:r>
      <w:r>
        <w:t xml:space="preserve">operation, post-clarification turbidity remained within its normal operating range</w:t>
      </w:r>
      <w:r>
        <w:t xml:space="preserve"> </w:t>
      </w:r>
      <w:r>
        <w:t xml:space="preserve">across the operating conditions, confirming a consistent, low-turbidity feed to</w:t>
      </w:r>
      <w:r>
        <w:t xml:space="preserve"> </w:t>
      </w:r>
      <w:r>
        <w:t xml:space="preserve">Protein A.</w:t>
      </w:r>
    </w:p>
    <w:bookmarkEnd w:id="34"/>
    <w:bookmarkStart w:id="35" w:name="no-product-quality-impact"/>
    <w:p>
      <w:pPr>
        <w:pStyle w:val="Heading2"/>
      </w:pPr>
      <w:r>
        <w:t xml:space="preserve">5.3 No product-quality impact</w:t>
      </w:r>
    </w:p>
    <w:p>
      <w:pPr>
        <w:pStyle w:val="FirstParagraph"/>
      </w:pPr>
      <w:r>
        <w:t xml:space="preserve">The size-variant (aggregate) result confirmed that the aggregate attribute is</w:t>
      </w:r>
      <w:r>
        <w:t xml:space="preserve"> </w:t>
      </w:r>
      <w:r>
        <w:t xml:space="preserve">unchanged across the operation, and the glycan and charge-variant attributes — set in</w:t>
      </w:r>
      <w:r>
        <w:t xml:space="preserve"> </w:t>
      </w:r>
      <w:r>
        <w:t xml:space="preserve">cell culture — are not modified by clarification. The harvest HCP and residual-DNA</w:t>
      </w:r>
      <w:r>
        <w:t xml:space="preserve"> </w:t>
      </w:r>
      <w:r>
        <w:t xml:space="preserve">load, formed upstream, was consistent run-to-run and is cleared by the purification</w:t>
      </w:r>
      <w:r>
        <w:t xml:space="preserve"> </w:t>
      </w:r>
      <w:r>
        <w:t xml:space="preserve">train. The characterization therefore confirms that harvest and clarification has no</w:t>
      </w:r>
      <w:r>
        <w:t xml:space="preserve"> </w:t>
      </w:r>
      <w:r>
        <w:t xml:space="preserve">product-quality impact, consistent with the A-Mab case study</w:t>
      </w:r>
      <w:r>
        <w:t xml:space="preserve"> </w:t>
      </w:r>
      <w:r>
        <w:t xml:space="preserve">(CMC Biotech Working Group 2009)</w:t>
      </w:r>
      <w:r>
        <w:t xml:space="preserve">.</w:t>
      </w:r>
    </w:p>
    <w:bookmarkEnd w:id="35"/>
    <w:bookmarkEnd w:id="36"/>
    <w:bookmarkStart w:id="37" w:name="process-performance-and-consistency"/>
    <w:p>
      <w:pPr>
        <w:pStyle w:val="Heading1"/>
      </w:pPr>
      <w:r>
        <w:t xml:space="preserve">6. Process performance and consistency</w:t>
      </w:r>
    </w:p>
    <w:p>
      <w:pPr>
        <w:pStyle w:val="FirstParagraph"/>
      </w:pPr>
      <w:r>
        <w:t xml:space="preserve">Because the operation forms no product-quality CQA, its robustness is expressed as the</w:t>
      </w:r>
      <w:r>
        <w:t xml:space="preserve"> </w:t>
      </w:r>
      <w:r>
        <w:t xml:space="preserve">consistency of its process-performance measures rather than as a multivariate design</w:t>
      </w:r>
      <w:r>
        <w:t xml:space="preserve"> </w:t>
      </w:r>
      <w:r>
        <w:t xml:space="preserve">space or a CQA capability index. The clarification yield of</w:t>
      </w:r>
      <w:r>
        <w:t xml:space="preserve"> </w:t>
      </w:r>
      <w:r>
        <w:t xml:space="preserve">97.7% and the post-clarification turbidity of</w:t>
      </w:r>
      <w:r>
        <w:t xml:space="preserve"> </w:t>
      </w:r>
      <w:r>
        <w:t xml:space="preserve">5 NTU, both reproducible at the set-point and stable across the</w:t>
      </w:r>
      <w:r>
        <w:t xml:space="preserve"> </w:t>
      </w:r>
      <w:r>
        <w:t xml:space="preserve">parameter ranges, establish that the operation reliably delivers a clarified feed of</w:t>
      </w:r>
      <w:r>
        <w:t xml:space="preserve"> </w:t>
      </w:r>
      <w:r>
        <w:t xml:space="preserve">consistent quality to Protein A at commercial scale. The commercial-scale CQA</w:t>
      </w:r>
      <w:r>
        <w:t xml:space="preserve"> </w:t>
      </w:r>
      <w:r>
        <w:t xml:space="preserve">capability is reported for the CQA-forming and CQA-clearing unit operations in their</w:t>
      </w:r>
      <w:r>
        <w:t xml:space="preserve"> </w:t>
      </w:r>
      <w:r>
        <w:t xml:space="preserve">respective reports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; harvest contributes to it only by</w:t>
      </w:r>
      <w:r>
        <w:t xml:space="preserve"> </w:t>
      </w:r>
      <w:r>
        <w:t xml:space="preserve">preserving yield and feed consistency.</w:t>
      </w:r>
    </w:p>
    <w:bookmarkEnd w:id="37"/>
    <w:bookmarkStart w:id="39" w:name="parameter-classification"/>
    <w:p>
      <w:pPr>
        <w:pStyle w:val="Heading1"/>
      </w:pPr>
      <w:r>
        <w:t xml:space="preserve">7. Parameter classification</w:t>
      </w:r>
    </w:p>
    <w:p>
      <w:pPr>
        <w:pStyle w:val="FirstParagraph"/>
      </w:pPr>
      <w:r>
        <w:t xml:space="preserve">Each parameter was classified on the A-Mab continuum from the demonstrated effects on</w:t>
      </w:r>
      <w:r>
        <w:t xml:space="preserve"> </w:t>
      </w:r>
      <w:r>
        <w:t xml:space="preserve">process performance and the absence of a CQA impact (</w:t>
      </w:r>
      <w:hyperlink w:anchor="tbl-class">
        <w:r>
          <w:rPr>
            <w:rStyle w:val="Hyperlink"/>
          </w:rPr>
          <w:t xml:space="preserve">Table 5</w:t>
        </w:r>
      </w:hyperlink>
      <w:r>
        <w:t xml:space="preserve">). The rationale is as</w:t>
      </w:r>
      <w:r>
        <w:t xml:space="preserve"> </w:t>
      </w:r>
      <w:r>
        <w:t xml:space="preserve">follows.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Centrifugation force, depth-filter load — KPP.</w:t>
      </w:r>
      <w:r>
        <w:t xml:space="preserve"> </w:t>
      </w:r>
      <w:r>
        <w:t xml:space="preserve">Each governs recovery, centrate/</w:t>
      </w:r>
      <w:r>
        <w:t xml:space="preserve"> </w:t>
      </w:r>
      <w:r>
        <w:t xml:space="preserve">filtrate clarity and filter capacity (process performance and feed consistency) but</w:t>
      </w:r>
      <w:r>
        <w:t xml:space="preserve"> </w:t>
      </w:r>
      <w:r>
        <w:t xml:space="preserve">does not significantly impact any CQA; they are controlled for process performance.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Post-clarification turbidity — GPP.</w:t>
      </w:r>
      <w:r>
        <w:t xml:space="preserve"> </w:t>
      </w:r>
      <w:r>
        <w:t xml:space="preserve">A monitored output attribute of the</w:t>
      </w:r>
      <w:r>
        <w:t xml:space="preserve"> </w:t>
      </w:r>
      <w:r>
        <w:t xml:space="preserve">operation with a wide acceptable range and no product-quality consequence; it is</w:t>
      </w:r>
      <w:r>
        <w:t xml:space="preserve"> </w:t>
      </w:r>
      <w:r>
        <w:t xml:space="preserve">trended to confirm feed consistency.</w:t>
      </w:r>
    </w:p>
    <w:p>
      <w:pPr>
        <w:pStyle w:val="FirstParagraph"/>
      </w:pPr>
      <w:r>
        <w:t xml:space="preserve">No harvest parameter is a CPP, because the operation forms no product-quality</w:t>
      </w:r>
      <w:r>
        <w:t xml:space="preserve"> </w:t>
      </w:r>
      <w:r>
        <w:t xml:space="preserve">attribute.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clas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Post-characterization parameter classification.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univariate</w:t>
                  </w:r>
                </w:p>
              </w:tc>
            </w:tr>
          </w:tbl>
          <w:bookmarkEnd w:id="38"/>
          <w:p/>
        </w:tc>
      </w:tr>
    </w:tbl>
    <w:bookmarkEnd w:id="39"/>
    <w:bookmarkStart w:id="40" w:name="contribution-to-the-control-strategy"/>
    <w:p>
      <w:pPr>
        <w:pStyle w:val="Heading1"/>
      </w:pPr>
      <w:r>
        <w:t xml:space="preserve">8. Contribution to the control strategy</w:t>
      </w:r>
    </w:p>
    <w:p>
      <w:pPr>
        <w:pStyle w:val="FirstParagraph"/>
      </w:pPr>
      <w:r>
        <w:t xml:space="preserve">Harvest and clarification is not a control point for any product-quality CQA; its</w:t>
      </w:r>
      <w:r>
        <w:t xml:space="preserve"> </w:t>
      </w:r>
      <w:r>
        <w:t xml:space="preserve">contribution to the overall control strategy is to protect process performance and</w:t>
      </w:r>
      <w:r>
        <w:t xml:space="preserve"> </w:t>
      </w:r>
      <w:r>
        <w:t xml:space="preserve">feed consistency. That contribution comprises: control of the centrifugation force and</w:t>
      </w:r>
      <w:r>
        <w:t xml:space="preserve"> </w:t>
      </w:r>
      <w:r>
        <w:t xml:space="preserve">depth-filter load to their NORs for reproducible recovery and clarity; in-process</w:t>
      </w:r>
      <w:r>
        <w:t xml:space="preserve"> </w:t>
      </w:r>
      <w:r>
        <w:t xml:space="preserve">monitoring of post-clarification turbidity as the feed-clarity attribute presented to</w:t>
      </w:r>
      <w:r>
        <w:t xml:space="preserve"> </w:t>
      </w:r>
      <w:r>
        <w:t xml:space="preserve">Protein A; trending of the harvest HCP and residual-DNA load to confirm the impurity</w:t>
      </w:r>
      <w:r>
        <w:t xml:space="preserve"> </w:t>
      </w:r>
      <w:r>
        <w:t xml:space="preserve">load presented to the purification train is consistent; and the sterile</w:t>
      </w:r>
      <w:r>
        <w:t xml:space="preserve"> </w:t>
      </w:r>
      <w:r>
        <w:t xml:space="preserve">(bioburden-reduction) filtration that protects the downstream capture step. The CQAs</w:t>
      </w:r>
      <w:r>
        <w:t xml:space="preserve"> </w:t>
      </w:r>
      <w:r>
        <w:t xml:space="preserve">that load the purification train — HCP, DNA and aggregate — are set upstream and</w:t>
      </w:r>
      <w:r>
        <w:t xml:space="preserve"> </w:t>
      </w:r>
      <w:r>
        <w:t xml:space="preserve">cleared by the Protein A, cation-exchange and anion-exchange steps (reported in the</w:t>
      </w:r>
      <w:r>
        <w:t xml:space="preserve"> </w:t>
      </w:r>
      <w:r>
        <w:t xml:space="preserve">paired unit-operation reports and consolidated in</w:t>
      </w:r>
      <w:r>
        <w:t xml:space="preserve"> </w:t>
      </w:r>
      <w:r>
        <w:rPr>
          <w:b/>
          <w:bCs/>
        </w:rPr>
        <w:t xml:space="preserve">PCMR-001</w:t>
      </w:r>
      <w:r>
        <w:t xml:space="preserve">).</w:t>
      </w:r>
    </w:p>
    <w:bookmarkEnd w:id="40"/>
    <w:bookmarkStart w:id="41" w:name="discussion"/>
    <w:p>
      <w:pPr>
        <w:pStyle w:val="Heading1"/>
      </w:pPr>
      <w:r>
        <w:t xml:space="preserve">9. Discussion</w:t>
      </w:r>
    </w:p>
    <w:p>
      <w:pPr>
        <w:pStyle w:val="FirstParagraph"/>
      </w:pPr>
      <w:r>
        <w:t xml:space="preserve">The characterization confirms the expected role of harvest and clarification: a</w:t>
      </w:r>
      <w:r>
        <w:t xml:space="preserve"> </w:t>
      </w:r>
      <w:r>
        <w:t xml:space="preserve">primary-recovery operation that defines the feed to Protein A without forming or</w:t>
      </w:r>
      <w:r>
        <w:t xml:space="preserve"> </w:t>
      </w:r>
      <w:r>
        <w:t xml:space="preserve">modifying any product-quality attribute. The operating parameters influence recovery</w:t>
      </w:r>
      <w:r>
        <w:t xml:space="preserve"> </w:t>
      </w:r>
      <w:r>
        <w:t xml:space="preserve">and feed clarity in the directions established by platform knowledge, and their ranges</w:t>
      </w:r>
      <w:r>
        <w:t xml:space="preserve"> </w:t>
      </w:r>
      <w:r>
        <w:t xml:space="preserve">are justified on process-performance grounds. The principal limitation is inherent to</w:t>
      </w:r>
      <w:r>
        <w:t xml:space="preserve"> </w:t>
      </w:r>
      <w:r>
        <w:t xml:space="preserve">scale-down characterization: absolute yield, centrate clarity and the harvest impurity</w:t>
      </w:r>
      <w:r>
        <w:t xml:space="preserve"> </w:t>
      </w:r>
      <w:r>
        <w:t xml:space="preserve">load may shift modestly at commercial scale, which is why the model is confirmed at</w:t>
      </w:r>
      <w:r>
        <w:t xml:space="preserve"> </w:t>
      </w:r>
      <w:r>
        <w:t xml:space="preserve">scale during Stage 2 and the KPP ranges are carried forward with in-process monitoring</w:t>
      </w:r>
      <w:r>
        <w:t xml:space="preserve"> </w:t>
      </w:r>
      <w:r>
        <w:t xml:space="preserve">of turbidity and the feed impurity load. The characterization did not identify any</w:t>
      </w:r>
      <w:r>
        <w:t xml:space="preserve"> </w:t>
      </w:r>
      <w:r>
        <w:t xml:space="preserve">parameter requiring critical (CPP) control within the studied ranges.</w:t>
      </w:r>
    </w:p>
    <w:bookmarkEnd w:id="41"/>
    <w:bookmarkStart w:id="42" w:name="conclusions"/>
    <w:p>
      <w:pPr>
        <w:pStyle w:val="Heading1"/>
      </w:pPr>
      <w:r>
        <w:t xml:space="preserve">10. Conclusions</w:t>
      </w:r>
    </w:p>
    <w:p>
      <w:pPr>
        <w:pStyle w:val="FirstParagraph"/>
      </w:pPr>
      <w:r>
        <w:t xml:space="preserve">The A-Mab harvest and clarification operation is well understood and robust. It sets</w:t>
      </w:r>
      <w:r>
        <w:t xml:space="preserve"> </w:t>
      </w:r>
      <w:r>
        <w:t xml:space="preserve">or modifies no product-quality CQA; it recovers antibody at a clarification yield of</w:t>
      </w:r>
      <w:r>
        <w:t xml:space="preserve"> </w:t>
      </w:r>
      <w:r>
        <w:t xml:space="preserve">97.7% and delivers a clarified feed at</w:t>
      </w:r>
      <w:r>
        <w:t xml:space="preserve"> </w:t>
      </w:r>
      <w:r>
        <w:t xml:space="preserve">5 NTU within its normal operating range; and its parameters are</w:t>
      </w:r>
      <w:r>
        <w:t xml:space="preserve"> </w:t>
      </w:r>
      <w:r>
        <w:t xml:space="preserve">classified as KPP or GPP with a data-supported rationale. The parameter ranges and</w:t>
      </w:r>
      <w:r>
        <w:t xml:space="preserve"> </w:t>
      </w:r>
      <w:r>
        <w:t xml:space="preserve">classifications provide the basis for the Stage 2 operating ranges and the</w:t>
      </w:r>
      <w:r>
        <w:t xml:space="preserve"> </w:t>
      </w:r>
      <w:r>
        <w:t xml:space="preserve">process-performance elements of the drug-substance control strategy. This report rolls</w:t>
      </w:r>
      <w:r>
        <w:t xml:space="preserve"> </w:t>
      </w:r>
      <w:r>
        <w:t xml:space="preserve">up into the Process Characterization Master Report (</w:t>
      </w:r>
      <w:r>
        <w:rPr>
          <w:b/>
          <w:bCs/>
        </w:rPr>
        <w:t xml:space="preserve">PCMR-001</w:t>
      </w:r>
      <w:r>
        <w:t xml:space="preserve">) and provides the</w:t>
      </w:r>
      <w:r>
        <w:t xml:space="preserve"> </w:t>
      </w:r>
      <w:r>
        <w:t xml:space="preserve">parameter risk basis for the post-characterization process risk assessment.</w:t>
      </w:r>
    </w:p>
    <w:bookmarkEnd w:id="42"/>
    <w:bookmarkStart w:id="43" w:name="deviations-from-the-plan"/>
    <w:p>
      <w:pPr>
        <w:pStyle w:val="Heading1"/>
      </w:pPr>
      <w:r>
        <w:t xml:space="preserve">Deviations from the plan</w:t>
      </w:r>
    </w:p>
    <w:p>
      <w:pPr>
        <w:pStyle w:val="FirstParagraph"/>
      </w:pPr>
      <w:r>
        <w:t xml:space="preserve">No deviations from</w:t>
      </w:r>
      <w:r>
        <w:t xml:space="preserve"> </w:t>
      </w:r>
      <w:r>
        <w:rPr>
          <w:b/>
          <w:bCs/>
        </w:rPr>
        <w:t xml:space="preserve">PCP-004</w:t>
      </w:r>
      <w:r>
        <w:t xml:space="preserve"> </w:t>
      </w:r>
      <w:r>
        <w:t xml:space="preserve">were recorded. All planned ranging runs were executed</w:t>
      </w:r>
      <w:r>
        <w:t xml:space="preserve"> </w:t>
      </w:r>
      <w:r>
        <w:t xml:space="preserve">and all planned measures were recorded on the qualified scale-down clarification</w:t>
      </w:r>
      <w:r>
        <w:t xml:space="preserve"> </w:t>
      </w:r>
      <w:r>
        <w:t xml:space="preserve">model.</w:t>
      </w:r>
    </w:p>
    <w:bookmarkEnd w:id="43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4" w:name="ref-amab2009"/>
    <w:p>
      <w:pPr>
        <w:pStyle w:val="Bibliography"/>
      </w:pPr>
      <w:r>
        <w:t xml:space="preserve">CMC Biotech Working Group. 2009.</w:t>
      </w:r>
      <w:r>
        <w:t xml:space="preserve"> </w:t>
      </w:r>
      <w:r>
        <w:rPr>
          <w:i/>
          <w:iCs/>
        </w:rPr>
        <w:t xml:space="preserve">A-Mab: A Case Study in Bioprocess Development</w:t>
      </w:r>
      <w:r>
        <w:t xml:space="preserve">. CASSS.</w:t>
      </w:r>
    </w:p>
    <w:bookmarkEnd w:id="44"/>
    <w:bookmarkStart w:id="45" w:name="ref-ichq8"/>
    <w:p>
      <w:pPr>
        <w:pStyle w:val="Bibliography"/>
      </w:pPr>
      <w:r>
        <w:t xml:space="preserve">International Council for Harmonisation. 2009.</w:t>
      </w:r>
      <w:r>
        <w:t xml:space="preserve"> </w:t>
      </w:r>
      <w:r>
        <w:rPr>
          <w:i/>
          <w:iCs/>
        </w:rPr>
        <w:t xml:space="preserve">ICH Q8(R2): Pharmaceutical Development</w:t>
      </w:r>
      <w:r>
        <w:t xml:space="preserve">. ICH.</w:t>
      </w:r>
    </w:p>
    <w:bookmarkEnd w:id="45"/>
    <w:bookmarkStart w:id="46" w:name="ref-ichq11"/>
    <w:p>
      <w:pPr>
        <w:pStyle w:val="Bibliography"/>
      </w:pPr>
      <w:r>
        <w:t xml:space="preserve">International Council for Harmonisation. 2012.</w:t>
      </w:r>
      <w:r>
        <w:t xml:space="preserve"> </w:t>
      </w:r>
      <w:r>
        <w:rPr>
          <w:i/>
          <w:iCs/>
        </w:rPr>
        <w:t xml:space="preserve">ICH Q11: Development and Manufacture of Drug Substances</w:t>
      </w:r>
      <w:r>
        <w:t xml:space="preserve">. ICH.</w:t>
      </w:r>
    </w:p>
    <w:bookmarkEnd w:id="46"/>
    <w:bookmarkStart w:id="47" w:name="ref-ichq9"/>
    <w:p>
      <w:pPr>
        <w:pStyle w:val="Bibliography"/>
      </w:pPr>
      <w:r>
        <w:t xml:space="preserve">International Council for Harmonisation. 2023.</w:t>
      </w:r>
      <w:r>
        <w:t xml:space="preserve"> </w:t>
      </w:r>
      <w:r>
        <w:rPr>
          <w:i/>
          <w:iCs/>
        </w:rPr>
        <w:t xml:space="preserve">ICH Q9(R1): Quality Risk Management</w:t>
      </w:r>
      <w:r>
        <w:t xml:space="preserve">. ICH.</w:t>
      </w:r>
    </w:p>
    <w:bookmarkEnd w:id="47"/>
    <w:bookmarkStart w:id="48" w:name="ref-ispegpg2023"/>
    <w:p>
      <w:pPr>
        <w:pStyle w:val="Bibliography"/>
      </w:pPr>
      <w:r>
        <w:t xml:space="preserve">International Society for Pharmaceutical Engineering. 2023.</w:t>
      </w:r>
      <w:r>
        <w:t xml:space="preserve"> </w:t>
      </w:r>
      <w:r>
        <w:rPr>
          <w:i/>
          <w:iCs/>
        </w:rPr>
        <w:t xml:space="preserve">Good Practice Guide: Practical Implementation of the Lifecycle Approach to Process Validation</w:t>
      </w:r>
      <w:r>
        <w:t xml:space="preserve">. ISPE.</w:t>
      </w:r>
    </w:p>
    <w:bookmarkEnd w:id="48"/>
    <w:bookmarkStart w:id="49" w:name="ref-pdatr60"/>
    <w:p>
      <w:pPr>
        <w:pStyle w:val="Bibliography"/>
      </w:pPr>
      <w:r>
        <w:t xml:space="preserve">Parenteral Drug Association. 2013.</w:t>
      </w:r>
      <w:r>
        <w:t xml:space="preserve"> </w:t>
      </w:r>
      <w:r>
        <w:rPr>
          <w:i/>
          <w:iCs/>
        </w:rPr>
        <w:t xml:space="preserve">Technical Report No. 60: Process Validation — a Lifecycle Approach</w:t>
      </w:r>
      <w:r>
        <w:t xml:space="preserve">. PDA.</w:t>
      </w:r>
    </w:p>
    <w:bookmarkEnd w:id="49"/>
    <w:bookmarkStart w:id="50" w:name="ref-fda2011"/>
    <w:p>
      <w:pPr>
        <w:pStyle w:val="Bibliography"/>
      </w:pPr>
      <w:r>
        <w:t xml:space="preserve">U.S. Food and Drug Administration. 2011.</w:t>
      </w:r>
      <w:r>
        <w:t xml:space="preserve"> </w:t>
      </w:r>
      <w:r>
        <w:rPr>
          <w:i/>
          <w:iCs/>
        </w:rPr>
        <w:t xml:space="preserve">Guidance for Industry: Process Validation — General Principles and Practices</w:t>
      </w:r>
      <w:r>
        <w:t xml:space="preserve">. FDA.</w:t>
      </w:r>
    </w:p>
    <w:bookmarkEnd w:id="50"/>
    <w:bookmarkEnd w:id="51"/>
    <w:p>
      <w:r>
        <w:br w:type="page"/>
      </w:r>
    </w:p>
    <w:bookmarkEnd w:id="52"/>
    <w:bookmarkStart w:id="54" w:name="appendix-a-univariate-ranging-summary"/>
    <w:p>
      <w:pPr>
        <w:pStyle w:val="Heading1"/>
      </w:pPr>
      <w:r>
        <w:t xml:space="preserve">Appendix A — Univariate ranging summary</w:t>
      </w:r>
    </w:p>
    <w:p>
      <w:pPr>
        <w:pStyle w:val="FirstParagraph"/>
      </w:pPr>
      <w:r>
        <w:t xml:space="preserve">The parameters, characterization ranges and the process-performance measures recorded</w:t>
      </w:r>
      <w:r>
        <w:t xml:space="preserve"> </w:t>
      </w:r>
      <w:r>
        <w:t xml:space="preserve">at each level. Each parameter was varied one factor at a time with the remaining</w:t>
      </w:r>
      <w:r>
        <w:t xml:space="preserve"> </w:t>
      </w:r>
      <w:r>
        <w:t xml:space="preserve">parameters held at their set-points.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tbl-app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Appendix A — one-factor-at-a-time ranging summary.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661"/>
              <w:gridCol w:w="720"/>
              <w:gridCol w:w="664"/>
              <w:gridCol w:w="664"/>
              <w:gridCol w:w="498"/>
              <w:gridCol w:w="37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Parameter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Set-point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Performance measures recorded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Centrifugation (rcf)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9e+03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6000–12000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8000–10000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Depth filter load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80–160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100–140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KPP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1–20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1–10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GPP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step yield, post-clarification turbidity, depth-filter throughput</w:t>
                  </w:r>
                </w:p>
              </w:tc>
            </w:tr>
          </w:tbl>
          <w:bookmarkEnd w:id="53"/>
          <w:p/>
        </w:tc>
      </w:tr>
    </w:tbl>
    <w:p>
      <w:r>
        <w:br w:type="page"/>
      </w:r>
    </w:p>
    <w:bookmarkEnd w:id="54"/>
    <w:bookmarkStart w:id="56" w:name="appendix-b-analytical-methods-summary"/>
    <w:p>
      <w:pPr>
        <w:pStyle w:val="Heading1"/>
      </w:pPr>
      <w:r>
        <w:t xml:space="preserve">Appendix B — Analytical methods summary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tbl-app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7: Analytical methods, techniques and validation references (performance characteristics per the cited method validation reports).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Method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Technique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Analytes / measures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Validation ref.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Reportable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Turbidity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Nephelometry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Post-clarification turbidity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NTU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Host-cell protein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ELISA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HCP (feed load)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ng/mg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Residual DNA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qPCR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Host-cell DNA (feed load)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ng/dose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variants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SEC-HPLC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Aggregate (HMW), monomer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AMV-3011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% HMW</w:t>
                  </w:r>
                </w:p>
              </w:tc>
            </w:tr>
          </w:tbl>
          <w:bookmarkEnd w:id="55"/>
          <w:p/>
        </w:tc>
      </w:tr>
    </w:tbl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Characterization Report</dc:title>
  <dc:creator>Process Development / Manufacturing Science &amp; Technology (MSAT)</dc:creator>
  <cp:keywords/>
  <dcterms:created xsi:type="dcterms:W3CDTF">2026-07-25T11:01:29Z</dcterms:created>
  <dcterms:modified xsi:type="dcterms:W3CDTF">2026-07-25T11:01:29Z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>references.bib</vt:lpwstr>
  </property>
  <property fmtid="{D5CDD505-2E9C-101B-9397-08002B2CF9AE}" pid="5" name="by-author">
    <vt:lpwstr/>
  </property>
  <property fmtid="{D5CDD505-2E9C-101B-9397-08002B2CF9AE}" pid="6" name="date">
    <vt:lpwstr>2026-07-24</vt:lpwstr>
  </property>
  <property fmtid="{D5CDD505-2E9C-101B-9397-08002B2CF9AE}" pid="7" name="execute">
    <vt:lpwstr/>
  </property>
  <property fmtid="{D5CDD505-2E9C-101B-9397-08002B2CF9AE}" pid="8" name="fig-cap-location">
    <vt:lpwstr>bottom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jupyter">
    <vt:lpwstr>python3</vt:lpwstr>
  </property>
  <property fmtid="{D5CDD505-2E9C-101B-9397-08002B2CF9AE}" pid="13" name="labels">
    <vt:lpwstr/>
  </property>
  <property fmtid="{D5CDD505-2E9C-101B-9397-08002B2CF9AE}" pid="14" name="subtitle">
    <vt:lpwstr>A-Mab Drug Substance — Harvest and Clarification (Step 4) — PCR-004</vt:lpwstr>
  </property>
  <property fmtid="{D5CDD505-2E9C-101B-9397-08002B2CF9AE}" pid="15" name="tbl-cap-location">
    <vt:lpwstr>top</vt:lpwstr>
  </property>
  <property fmtid="{D5CDD505-2E9C-101B-9397-08002B2CF9AE}" pid="16" name="toc-title">
    <vt:lpwstr>Table of contents</vt:lpwstr>
  </property>
</Properties>
</file>