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Pre-Characterization Process Risk Assessment</w:t>
      </w:r>
    </w:p>
    <w:p>
      <w:pPr>
        <w:pStyle w:val="Subtitle"/>
      </w:pPr>
      <w:r>
        <w:t xml:space="preserve">A-Mab Drug Substance — Risk Ranking and Study-Type Assignment — RA-001</w:t>
      </w:r>
    </w:p>
    <w:p>
      <w:pPr>
        <w:pStyle w:val="Author"/>
      </w:pPr>
      <w:r>
        <w:t xml:space="preserve">Manufacturing Science &amp; Technology (MSAT) / Quality Risk Management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Pre-Characterization Process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Pre-Characterization Process Risk Assessment — A-Mab Drug Substance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Risk Management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CPP, critical process parameter · CQA, critical quality attribute · D, detection · DoE,</w:t>
      </w:r>
      <w:r>
        <w:t xml:space="preserve"> </w:t>
      </w:r>
      <w:r>
        <w:t xml:space="preserve">design of experiments · DS, drug substance · FMEA, failure mode and effects analysis · GPP,</w:t>
      </w:r>
      <w:r>
        <w:t xml:space="preserve"> </w:t>
      </w:r>
      <w:r>
        <w:t xml:space="preserve">general process parameter · ICH, International Council for Harmonisation · KPP, key process</w:t>
      </w:r>
      <w:r>
        <w:t xml:space="preserve"> </w:t>
      </w:r>
      <w:r>
        <w:t xml:space="preserve">parameter · MSAT, Manufacturing Science and Technology · O, occurrence · PC, process</w:t>
      </w:r>
      <w:r>
        <w:t xml:space="preserve"> </w:t>
      </w:r>
      <w:r>
        <w:t xml:space="preserve">characterization · RPN, risk priority number · RRF, risk ranking and filtering · S,</w:t>
      </w:r>
      <w:r>
        <w:t xml:space="preserve"> </w:t>
      </w:r>
      <w:r>
        <w:t xml:space="preserve">severity · WC-CPP, well-controlled CPP.</w:t>
      </w:r>
    </w:p>
    <w:p>
      <w:r>
        <w:br w:type="page"/>
      </w:r>
    </w:p>
    <w:bookmarkEnd w:id="11"/>
    <w:bookmarkStart w:id="1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Pre-Characterization Process Risk Assessment (</w:t>
      </w:r>
      <w:r>
        <w:rPr>
          <w:b/>
          <w:bCs/>
        </w:rPr>
        <w:t xml:space="preserve">RA-001</w:t>
      </w:r>
      <w:r>
        <w:t xml:space="preserve">) prioritizes the A-Mab</w:t>
      </w:r>
      <w:r>
        <w:t xml:space="preserve"> </w:t>
      </w:r>
      <w:r>
        <w:t xml:space="preserve">drug-substance process parameters for characterization and assigns each parameter a study</w:t>
      </w:r>
      <w:r>
        <w:t xml:space="preserve"> </w:t>
      </w:r>
      <w:r>
        <w:t xml:space="preserve">type,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characterization studies are executed. It is the first (pre-hoc) risk</w:t>
      </w:r>
      <w:r>
        <w:t xml:space="preserve"> </w:t>
      </w:r>
      <w:r>
        <w:t xml:space="preserve">assessment of the A-Mab lifecycle of iterative risk assessments: it uses prior knowledge and</w:t>
      </w:r>
      <w:r>
        <w:t xml:space="preserve"> </w:t>
      </w:r>
      <w:r>
        <w:t xml:space="preserve">early development experience — not the results of the characterization studies — to decide</w:t>
      </w:r>
      <w:r>
        <w:t xml:space="preserve"> </w:t>
      </w:r>
      <w:r>
        <w:t xml:space="preserve">which parameters carry a credible risk to a critical quality attribute (CQA) and therefore</w:t>
      </w:r>
      <w:r>
        <w:t xml:space="preserve"> </w:t>
      </w:r>
      <w:r>
        <w:t xml:space="preserve">warrant a multivariate designed experiment, which warrant a univariate study, and which</w:t>
      </w:r>
      <w:r>
        <w:t xml:space="preserve"> </w:t>
      </w:r>
      <w:r>
        <w:t xml:space="preserve">require only routine control. Its output is the</w:t>
      </w:r>
      <w:r>
        <w:t xml:space="preserve"> </w:t>
      </w:r>
      <w:r>
        <w:rPr>
          <w:b/>
          <w:bCs/>
        </w:rPr>
        <w:t xml:space="preserve">characterization scope</w:t>
      </w:r>
      <w:r>
        <w:t xml:space="preserve"> </w:t>
      </w:r>
      <w:r>
        <w:t xml:space="preserve">that is handed to</w:t>
      </w:r>
      <w:r>
        <w:t xml:space="preserve"> </w:t>
      </w:r>
      <w:r>
        <w:t xml:space="preserve">each per-unit-operation Process Characterization Plan (</w:t>
      </w:r>
      <w:r>
        <w:rPr>
          <w:b/>
          <w:bCs/>
        </w:rPr>
        <w:t xml:space="preserve">PCP-003 … PCP-010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37 process parameters of the drug-substance train (production</w:t>
      </w:r>
      <w:r>
        <w:t xml:space="preserve"> </w:t>
      </w:r>
      <w:r>
        <w:t xml:space="preserve">bioreactor through final UF/DF), assessed for their prospective (pre-characterization) risk of</w:t>
      </w:r>
      <w:r>
        <w:t xml:space="preserve"> </w:t>
      </w:r>
      <w:r>
        <w:t xml:space="preserve">impacting the 10 drug-substance CQAs and for the resulting study-type</w:t>
      </w:r>
      <w:r>
        <w:t xml:space="preserve"> </w:t>
      </w:r>
      <w:r>
        <w:t xml:space="preserve">assignment. This assessment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classify parameters as CPP/WC-CPP/KPP/GPP — that is</w:t>
      </w:r>
      <w:r>
        <w:t xml:space="preserve"> </w:t>
      </w:r>
      <w:r>
        <w:t xml:space="preserve">an output of the characterization studies, reported in each PCR and consolidated in the</w:t>
      </w:r>
      <w:r>
        <w:t xml:space="preserve"> </w:t>
      </w:r>
      <w:r>
        <w:t xml:space="preserve">Process Characterization Master Report (</w:t>
      </w:r>
      <w:r>
        <w:rPr>
          <w:b/>
          <w:bCs/>
        </w:rPr>
        <w:t xml:space="preserve">PCMR-001</w:t>
      </w:r>
      <w:r>
        <w:t xml:space="preserve">); nor does it use the</w:t>
      </w:r>
      <w:r>
        <w:t xml:space="preserve"> </w:t>
      </w:r>
      <w:r>
        <w:t xml:space="preserve">post-characterization residual risk.</w:t>
      </w:r>
    </w:p>
    <w:p>
      <w:pPr>
        <w:pStyle w:val="BodyText"/>
      </w:pPr>
      <w:r>
        <w:rPr>
          <w:b/>
          <w:bCs/>
        </w:rPr>
        <w:t xml:space="preserve">Basis.</w:t>
      </w:r>
      <w:r>
        <w:t xml:space="preserve"> </w:t>
      </w:r>
      <w:r>
        <w:t xml:space="preserve">The assessment is derived from the Process Transfer Plan (</w:t>
      </w:r>
      <w:r>
        <w:rPr>
          <w:b/>
          <w:bCs/>
        </w:rPr>
        <w:t xml:space="preserve">PTP-001</w:t>
      </w:r>
      <w:r>
        <w:t xml:space="preserve">) product and</w:t>
      </w:r>
      <w:r>
        <w:t xml:space="preserve"> </w:t>
      </w:r>
      <w:r>
        <w:t xml:space="preserve">process description and follows the A-Mab quality-risk-management methodology</w:t>
      </w:r>
      <w:r>
        <w:t xml:space="preserve"> </w:t>
      </w:r>
      <w:r>
        <w:t xml:space="preserve">(CMC Biotech Working Group 2009)</w:t>
      </w:r>
      <w:r>
        <w:t xml:space="preserve"> </w:t>
      </w:r>
      <w:r>
        <w:t xml:space="preserve">—</w:t>
      </w:r>
      <w:r>
        <w:t xml:space="preserve"> </w:t>
      </w:r>
      <w:r>
        <w:t xml:space="preserve">the two-axis CQA criticality tools and the risk-ranking-and-filtering (RRF) study-type rule —</w:t>
      </w:r>
      <w:r>
        <w:t xml:space="preserve"> </w:t>
      </w:r>
      <w:r>
        <w:t xml:space="preserve">within the ICH Q9 quality-risk-management framework</w:t>
      </w:r>
      <w:r>
        <w:t xml:space="preserve"> </w:t>
      </w:r>
      <w:r>
        <w:t xml:space="preserve">(International Council for Harmonisation 2023)</w:t>
      </w:r>
      <w:r>
        <w:t xml:space="preserve"> </w:t>
      </w:r>
      <w:r>
        <w:t xml:space="preserve">and the QbD approach of ICH Q8</w:t>
      </w:r>
      <w:r>
        <w:t xml:space="preserve"> </w:t>
      </w:r>
      <w:r>
        <w:t xml:space="preserve">and Q11</w:t>
      </w:r>
      <w:r>
        <w:t xml:space="preserve"> </w:t>
      </w:r>
      <w:r>
        <w:t xml:space="preserve">(International Council for Harmonisation 2009, 2012)</w:t>
      </w:r>
      <w:r>
        <w:t xml:space="preserve">. The curated per-parameter failure-mode and effect content is the</w:t>
      </w:r>
      <w:r>
        <w:t xml:space="preserve"> </w:t>
      </w:r>
      <w:r>
        <w:t xml:space="preserve">same content source used to build the post-characterization process FMEA.</w:t>
      </w:r>
    </w:p>
    <w:bookmarkEnd w:id="12"/>
    <w:bookmarkStart w:id="14" w:name="related-documents"/>
    <w:p>
      <w:pPr>
        <w:pStyle w:val="Heading1"/>
      </w:pPr>
      <w:r>
        <w:t xml:space="preserve">2. Related documents</w:t>
      </w:r>
    </w:p>
    <w:p>
      <w:pPr>
        <w:pStyle w:val="FirstParagraph"/>
      </w:pPr>
      <w:r>
        <w:t xml:space="preserve">This assessment is a parent risk document for the characterization package; the full package</w:t>
      </w:r>
      <w:r>
        <w:t xml:space="preserve"> </w:t>
      </w:r>
      <w:r>
        <w:t xml:space="preserve">is cross-referenced for traceability.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r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The A-Mab drug-substance document package referenced by this risk assessment.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12"/>
              <w:gridCol w:w="3232"/>
              <w:gridCol w:w="347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Subject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Drug Substance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Drug Substance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 (Step 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 (Step 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 (Step 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 (Step 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 (Step 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 (Step 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 (Step 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 (Step 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 (Step 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 (Step 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 (Step 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 (Step 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 (Step 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 (Step 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 (Step 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 (Step 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Drug Substance</w:t>
                  </w:r>
                </w:p>
              </w:tc>
            </w:tr>
          </w:tbl>
          <w:bookmarkEnd w:id="13"/>
          <w:p/>
        </w:tc>
      </w:tr>
    </w:tbl>
    <w:bookmarkEnd w:id="14"/>
    <w:bookmarkStart w:id="18" w:name="risk-assessment-methodology"/>
    <w:p>
      <w:pPr>
        <w:pStyle w:val="Heading1"/>
      </w:pPr>
      <w:r>
        <w:t xml:space="preserve">3. Risk-assessment methodology</w:t>
      </w:r>
    </w:p>
    <w:bookmarkStart w:id="15" w:name="two-distinct-criticality-assessments"/>
    <w:p>
      <w:pPr>
        <w:pStyle w:val="Heading2"/>
      </w:pPr>
      <w:r>
        <w:t xml:space="preserve">3.1 Two distinct criticality assessments</w:t>
      </w:r>
    </w:p>
    <w:p>
      <w:pPr>
        <w:pStyle w:val="FirstParagraph"/>
      </w:pPr>
      <w:r>
        <w:t xml:space="preserve">Consistent with the A-Mab case study, two distinct assessments are kept separate</w:t>
      </w:r>
      <w:r>
        <w:t xml:space="preserve"> </w:t>
      </w:r>
      <w:r>
        <w:t xml:space="preserve">(CMC Biotech Working Group 2009)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CQA criticality</w:t>
      </w:r>
      <w:r>
        <w:t xml:space="preserve"> </w:t>
      </w:r>
      <w:r>
        <w:t xml:space="preserve">(quality-attribute criticality) is scored on two axes only —</w:t>
      </w:r>
      <w:r>
        <w:t xml:space="preserve"> </w:t>
      </w:r>
      <w:r>
        <w:t xml:space="preserve">Tool #1: Risk Score = Impact × Uncertainty, and Tool #2: Severity × Likelihood — explicitly</w:t>
      </w:r>
      <w:r>
        <w:t xml:space="preserve"> </w:t>
      </w:r>
      <w:r>
        <w:t xml:space="preserve">excluding manufacturing capability and detectability; this yields a continuum of criticality,</w:t>
      </w:r>
      <w:r>
        <w:t xml:space="preserve"> </w:t>
      </w:r>
      <w:r>
        <w:t xml:space="preserve">not a binary critical / non-critical split. The</w:t>
      </w:r>
      <w:r>
        <w:t xml:space="preserve"> </w:t>
      </w:r>
      <w:r>
        <w:rPr>
          <w:b/>
          <w:bCs/>
        </w:rPr>
        <w:t xml:space="preserve">process-parameter risk</w:t>
      </w:r>
      <w:r>
        <w:t xml:space="preserve"> </w:t>
      </w:r>
      <w:r>
        <w:t xml:space="preserve">(this assessment)</w:t>
      </w:r>
      <w:r>
        <w:t xml:space="preserve"> </w:t>
      </w:r>
      <w:r>
        <w:t xml:space="preserve">then asks, for each parameter, whether its variability could impact a CQA and how the</w:t>
      </w:r>
      <w:r>
        <w:t xml:space="preserve"> </w:t>
      </w:r>
      <w:r>
        <w:t xml:space="preserve">parameter should therefore be studied. Criticality is treated as a continuum throughout</w:t>
      </w:r>
      <w:r>
        <w:t xml:space="preserve"> </w:t>
      </w:r>
      <w:r>
        <w:t xml:space="preserve">(ICH Q9)</w:t>
      </w:r>
      <w:r>
        <w:t xml:space="preserve"> </w:t>
      </w:r>
      <w:r>
        <w:t xml:space="preserve">(International Council for Harmonisation 2023)</w:t>
      </w:r>
      <w:r>
        <w:t xml:space="preserve">.</w:t>
      </w:r>
    </w:p>
    <w:bookmarkEnd w:id="15"/>
    <w:bookmarkStart w:id="16" w:name="X0211ec36418346690d123b0b7c59ee58d124914"/>
    <w:p>
      <w:pPr>
        <w:pStyle w:val="Heading2"/>
      </w:pPr>
      <w:r>
        <w:t xml:space="preserve">3.2 Pre-characterization risk ranking and study-type assignment</w:t>
      </w:r>
    </w:p>
    <w:p>
      <w:pPr>
        <w:pStyle w:val="FirstParagraph"/>
      </w:pPr>
      <w:r>
        <w:t xml:space="preserve">Because the characterization studies have not yet been executed, this assessment uses the</w:t>
      </w:r>
      <w:r>
        <w:t xml:space="preserve"> </w:t>
      </w:r>
      <w:r>
        <w:rPr>
          <w:b/>
          <w:bCs/>
        </w:rPr>
        <w:t xml:space="preserve">initial</w:t>
      </w:r>
      <w:r>
        <w:t xml:space="preserve"> </w:t>
      </w:r>
      <w:r>
        <w:t xml:space="preserve">(pre-characterization) risk: a parameter with a credible impact to a CQA has an</w:t>
      </w:r>
      <w:r>
        <w:t xml:space="preserve"> </w:t>
      </w:r>
      <w:r>
        <w:t xml:space="preserve">uncertain effect and poor in-process detectability (the effect is often detectable only at a</w:t>
      </w:r>
      <w:r>
        <w:t xml:space="preserve"> </w:t>
      </w:r>
      <w:r>
        <w:t xml:space="preserve">downstream step or at release), so its initial risk is high and it is prioritized for study.</w:t>
      </w:r>
      <w:r>
        <w:t xml:space="preserve"> </w:t>
      </w:r>
      <w:r>
        <w:t xml:space="preserve">A risk-ranking-and-filtering (RRF) screen scores each parameter’s potential main-effect and</w:t>
      </w:r>
      <w:r>
        <w:t xml:space="preserve"> </w:t>
      </w:r>
      <w:r>
        <w:t xml:space="preserve">interaction impact and assigns the study type accordingly: a parameter with a credible</w:t>
      </w:r>
      <w:r>
        <w:t xml:space="preserve"> </w:t>
      </w:r>
      <w:r>
        <w:t xml:space="preserve">main-effect and interaction risk to a CQA is carried into the unit operation’s</w:t>
      </w:r>
      <w:r>
        <w:t xml:space="preserve"> </w:t>
      </w:r>
      <w:r>
        <w:rPr>
          <w:b/>
          <w:bCs/>
        </w:rPr>
        <w:t xml:space="preserve">multivariate</w:t>
      </w:r>
      <w:r>
        <w:rPr>
          <w:b/>
          <w:bCs/>
        </w:rPr>
        <w:t xml:space="preserve"> </w:t>
      </w:r>
      <w:r>
        <w:rPr>
          <w:b/>
          <w:bCs/>
        </w:rPr>
        <w:t xml:space="preserve">designed experiment (DoE)</w:t>
      </w:r>
      <w:r>
        <w:t xml:space="preserve">; a parameter with a credible CQA impact but no expected</w:t>
      </w:r>
      <w:r>
        <w:t xml:space="preserve"> </w:t>
      </w:r>
      <w:r>
        <w:t xml:space="preserve">interaction is studied by a</w:t>
      </w:r>
      <w:r>
        <w:t xml:space="preserve"> </w:t>
      </w:r>
      <w:r>
        <w:rPr>
          <w:b/>
          <w:bCs/>
        </w:rPr>
        <w:t xml:space="preserve">justified univariate</w:t>
      </w:r>
      <w:r>
        <w:t xml:space="preserve"> </w:t>
      </w:r>
      <w:r>
        <w:t xml:space="preserve">study; and a parameter with no credible</w:t>
      </w:r>
      <w:r>
        <w:t xml:space="preserve"> </w:t>
      </w:r>
      <w:r>
        <w:t xml:space="preserve">CQA impact — one that affects only process performance — is studied</w:t>
      </w:r>
      <w:r>
        <w:t xml:space="preserve"> </w:t>
      </w:r>
      <w:r>
        <w:rPr>
          <w:b/>
          <w:bCs/>
        </w:rPr>
        <w:t xml:space="preserve">univariately</w:t>
      </w:r>
      <w:r>
        <w:t xml:space="preserve"> </w:t>
      </w:r>
      <w:r>
        <w:t xml:space="preserve">for its</w:t>
      </w:r>
      <w:r>
        <w:t xml:space="preserve"> </w:t>
      </w:r>
      <w:r>
        <w:t xml:space="preserve">performance effect</w:t>
      </w:r>
      <w:r>
        <w:t xml:space="preserve"> </w:t>
      </w:r>
      <w:r>
        <w:t xml:space="preserve">(CMC Biotech Working Group 2009)</w:t>
      </w:r>
      <w:r>
        <w:t xml:space="preserve">. The classification of each parameter (CPP / WC-CPP / KPP /</w:t>
      </w:r>
      <w:r>
        <w:t xml:space="preserve"> </w:t>
      </w:r>
      <w:r>
        <w:t xml:space="preserve">GPP)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assigned here; it is an output of the executed studies.</w:t>
      </w:r>
    </w:p>
    <w:bookmarkEnd w:id="16"/>
    <w:bookmarkStart w:id="17" w:name="prospective-severity-and-initial-risk"/>
    <w:p>
      <w:pPr>
        <w:pStyle w:val="Heading2"/>
      </w:pPr>
      <w:r>
        <w:t xml:space="preserve">3.3 Prospective severity and initial risk</w:t>
      </w:r>
    </w:p>
    <w:p>
      <w:pPr>
        <w:pStyle w:val="FirstParagraph"/>
      </w:pPr>
      <w:r>
        <w:t xml:space="preserve">The prospective severity of each parameter is taken as the maximum severity of the CQA(s) it</w:t>
      </w:r>
      <w:r>
        <w:t xml:space="preserve"> </w:t>
      </w:r>
      <w:r>
        <w:t xml:space="preserve">could impact, on the A-Mab severity scale (2–10). The initial risk priority number (RPN =</w:t>
      </w:r>
      <w:r>
        <w:t xml:space="preserve"> </w:t>
      </w:r>
      <w:r>
        <w:t xml:space="preserve">Severity × Occurrence × Detection) uses the pre-characterization occurrence and detection: an</w:t>
      </w:r>
      <w:r>
        <w:t xml:space="preserve"> </w:t>
      </w:r>
      <w:r>
        <w:t xml:space="preserve">uncertain effect (higher occurrence) and poor pre-characterization detectability (highest for</w:t>
      </w:r>
      <w:r>
        <w:t xml:space="preserve"> </w:t>
      </w:r>
      <w:r>
        <w:t xml:space="preserve">viral-clearance attributes, which cannot be detected by in-process testing). The initial RPN</w:t>
      </w:r>
      <w:r>
        <w:t xml:space="preserve"> </w:t>
      </w:r>
      <w:r>
        <w:t xml:space="preserve">is used only to rank and prioritize; it is expected to fall after characterization and the</w:t>
      </w:r>
      <w:r>
        <w:t xml:space="preserve"> </w:t>
      </w:r>
      <w:r>
        <w:t xml:space="preserve">resulting control strategy, as shown in the post-characterization process FMEA.</w:t>
      </w:r>
    </w:p>
    <w:bookmarkEnd w:id="17"/>
    <w:bookmarkEnd w:id="18"/>
    <w:bookmarkStart w:id="20" w:name="cqa-criticality-framework"/>
    <w:p>
      <w:pPr>
        <w:pStyle w:val="Heading1"/>
      </w:pPr>
      <w:r>
        <w:t xml:space="preserve">4. CQA criticality framework</w:t>
      </w:r>
    </w:p>
    <w:p>
      <w:pPr>
        <w:pStyle w:val="FirstParagraph"/>
      </w:pPr>
      <w:r>
        <w:t xml:space="preserve">The CQAs in scope and their criticality (Tool #1 = Impact × Uncertainty; Tool #2 severity) are</w:t>
      </w:r>
      <w:r>
        <w:t xml:space="preserve"> </w:t>
      </w:r>
      <w:r>
        <w:t xml:space="preserve">given in</w:t>
      </w:r>
      <w:r>
        <w:t xml:space="preserve"> </w:t>
      </w:r>
      <w:hyperlink w:anchor="tbl-cqa">
        <w:r>
          <w:rPr>
            <w:rStyle w:val="Hyperlink"/>
          </w:rPr>
          <w:t xml:space="preserve">Table 3</w:t>
        </w:r>
      </w:hyperlink>
      <w:r>
        <w:t xml:space="preserve">. Attributes rated High (H) or Very High (VH) are treated as</w:t>
      </w:r>
      <w:r>
        <w:t xml:space="preserve"> </w:t>
      </w:r>
      <w:r>
        <w:rPr>
          <w:i/>
          <w:iCs/>
        </w:rPr>
        <w:t xml:space="preserve">Critical</w:t>
      </w:r>
      <w:r>
        <w:t xml:space="preserve">, and</w:t>
      </w:r>
      <w:r>
        <w:t xml:space="preserve"> </w:t>
      </w:r>
      <w:r>
        <w:t xml:space="preserve">their associated parameters carry the highest prospective severity.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Drug-substance CQA criticality framework (Tool #1 = Impact × Uncertainty; Tool #2 = severity).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88"/>
              <w:gridCol w:w="1131"/>
              <w:gridCol w:w="1760"/>
              <w:gridCol w:w="942"/>
              <w:gridCol w:w="691"/>
              <w:gridCol w:w="10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#2 sev.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10–40 % (G1+G2 equiv.)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18–40 % (CEX/icIEF)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8.6–20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</w:tbl>
          <w:bookmarkEnd w:id="19"/>
          <w:p/>
        </w:tc>
      </w:tr>
    </w:tbl>
    <w:bookmarkEnd w:id="20"/>
    <w:bookmarkStart w:id="22" w:name="X94f851fae9739bb151b3ff2ce9ea8a607e4a56b"/>
    <w:p>
      <w:pPr>
        <w:pStyle w:val="Heading1"/>
      </w:pPr>
      <w:r>
        <w:t xml:space="preserve">5. Process-parameter risk ranking and study-type assignment</w:t>
      </w:r>
    </w:p>
    <w:p>
      <w:pPr>
        <w:pStyle w:val="FirstParagraph"/>
      </w:pPr>
      <w:r>
        <w:t xml:space="preserve">The prospective risk ranking of every process parameter, with the CQA(s) at risk, the</w:t>
      </w:r>
      <w:r>
        <w:t xml:space="preserve"> </w:t>
      </w:r>
      <w:r>
        <w:t xml:space="preserve">prospective severity, the initial (pre-characterization) RPN, the assigned study type and the</w:t>
      </w:r>
      <w:r>
        <w:t xml:space="preserve"> </w:t>
      </w:r>
      <w:r>
        <w:t xml:space="preserve">characterization priority, is given in</w:t>
      </w:r>
      <w:r>
        <w:t xml:space="preserve"> </w:t>
      </w:r>
      <w:hyperlink w:anchor="tbl-rank">
        <w:r>
          <w:rPr>
            <w:rStyle w:val="Hyperlink"/>
          </w:rPr>
          <w:t xml:space="preserve">Table 4</w:t>
        </w:r>
      </w:hyperlink>
      <w:r>
        <w:t xml:space="preserve">. Parameters that could impact a CQA are</w:t>
      </w:r>
      <w:r>
        <w:t xml:space="preserve"> </w:t>
      </w:r>
      <w:r>
        <w:t xml:space="preserve">prioritized for study; parameters that affect only process performance are ranked Low</w:t>
      </w:r>
      <w:r>
        <w:t xml:space="preserve"> </w:t>
      </w:r>
      <w:r>
        <w:t xml:space="preserve">(product-quality) priority and studied univariately for their performance effect. The</w:t>
      </w:r>
      <w:r>
        <w:t xml:space="preserve"> </w:t>
      </w:r>
      <w:r>
        <w:t xml:space="preserve">prospective failure mode and effect underlying each ranking are tabulated in Appendix 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Pre-characterization process-parameter risk ranking and study-type assignment (initial RPN = prospective Severity × pre-characterization Occurrence × Detection).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9"/>
              <w:gridCol w:w="1103"/>
              <w:gridCol w:w="973"/>
              <w:gridCol w:w="3732"/>
              <w:gridCol w:w="259"/>
              <w:gridCol w:w="421"/>
              <w:gridCol w:w="779"/>
              <w:gridCol w:w="38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CQA(s) at risk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Sev.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Init. RPN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Priority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Afucosylation, Galactosylation (total %Gal), High Mannose, Acidic charge variants (deamidation), Aggregates (HMW)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Afucosylation, Galactosylation (total %Gal), 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%Gal), 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%Gal), 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Afucosylation, Galactosylation (total %Gal), Aggregates (HMW), Host Cell Protein (HCP), Residual DNA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oxygen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Initial viable cell conc.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Basal medium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volume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 height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(enveloped), Aggregates (HMW)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(HMW), 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(HMW), Host Cell Protein (HCP)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(HCP), Viral clearance — XMuLV (enveloped), 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(enveloped), 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(enveloped), 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 (justified)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volume (load)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(parvovirus), 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Number of diavolumes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Transmembrane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DS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Of the 37 parameters, 21 carry a credible prospective risk</w:t>
      </w:r>
      <w:r>
        <w:t xml:space="preserve"> </w:t>
      </w:r>
      <w:r>
        <w:t xml:space="preserve">to a CQA and 16 affect only process performance. 16 are ranked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priority (a CQA of severity ≥ 8 at risk), 5</w:t>
      </w:r>
      <w:r>
        <w:t xml:space="preserve"> </w:t>
      </w:r>
      <w:r>
        <w:rPr>
          <w:b/>
          <w:bCs/>
        </w:rPr>
        <w:t xml:space="preserve">Medium</w:t>
      </w:r>
      <w:r>
        <w:t xml:space="preserve">, and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bookmarkEnd w:id="22"/>
    <w:bookmarkStart w:id="24" w:name="characterization-scope"/>
    <w:p>
      <w:pPr>
        <w:pStyle w:val="Heading1"/>
      </w:pPr>
      <w:r>
        <w:t xml:space="preserve">6. Characterization scope</w:t>
      </w:r>
    </w:p>
    <w:p>
      <w:pPr>
        <w:pStyle w:val="FirstParagraph"/>
      </w:pPr>
      <w:r>
        <w:t xml:space="preserve">The study-type assignment defines the characterization scope handed to the per-unit-operation</w:t>
      </w:r>
      <w:r>
        <w:t xml:space="preserve"> </w:t>
      </w:r>
      <w:r>
        <w:t xml:space="preserve">plans (</w:t>
      </w:r>
      <w:hyperlink w:anchor="tbl-scope">
        <w:r>
          <w:rPr>
            <w:rStyle w:val="Hyperlink"/>
          </w:rPr>
          <w:t xml:space="preserve">Table 5</w:t>
        </w:r>
      </w:hyperlink>
      <w:r>
        <w:t xml:space="preserve">): 22 parameters are assigned to a</w:t>
      </w:r>
      <w:r>
        <w:t xml:space="preserve"> </w:t>
      </w:r>
      <w:r>
        <w:rPr>
          <w:b/>
          <w:bCs/>
        </w:rPr>
        <w:t xml:space="preserve">multivariate DoE</w:t>
      </w:r>
      <w:r>
        <w:t xml:space="preserve">,</w:t>
      </w:r>
      <w:r>
        <w:t xml:space="preserve"> </w:t>
      </w:r>
      <w:r>
        <w:t xml:space="preserve">1 to a</w:t>
      </w:r>
      <w:r>
        <w:t xml:space="preserve"> </w:t>
      </w:r>
      <w:r>
        <w:rPr>
          <w:b/>
          <w:bCs/>
        </w:rPr>
        <w:t xml:space="preserve">justified univariate</w:t>
      </w:r>
      <w:r>
        <w:t xml:space="preserve"> </w:t>
      </w:r>
      <w:r>
        <w:t xml:space="preserve">study, and 15 to</w:t>
      </w:r>
      <w:r>
        <w:t xml:space="preserve"> </w:t>
      </w:r>
      <w:r>
        <w:rPr>
          <w:b/>
          <w:bCs/>
        </w:rPr>
        <w:t xml:space="preserve">univariate</w:t>
      </w:r>
      <w:r>
        <w:t xml:space="preserve"> </w:t>
      </w:r>
      <w:r>
        <w:t xml:space="preserve">ranging. Multivariate designed experiments are therefore planned for 6</w:t>
      </w:r>
      <w:r>
        <w:t xml:space="preserve"> </w:t>
      </w:r>
      <w:r>
        <w:t xml:space="preserve">unit operations (Steps 3, 5, 6, 7, 8, 9); the remaining steps — harvest / clarification</w:t>
      </w:r>
      <w:r>
        <w:t xml:space="preserve"> </w:t>
      </w:r>
      <w:r>
        <w:t xml:space="preserve">and final UF/DF — carry no credible CQA risk and are characterized univariately.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co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Characterization scope handed to the Process Characterization Plans (PCP-003 … PCP-010).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66"/>
              <w:gridCol w:w="1205"/>
              <w:gridCol w:w="46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Assigned study 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RRF basis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Credible main-effect and interaction risk to a CQA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 (justified)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Credible CQA risk without an expected interaction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credible CQA risk; process-performance study only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This scope is carried into each Process Characterization Plan, which specifies the exact</w:t>
      </w:r>
      <w:r>
        <w:t xml:space="preserve"> </w:t>
      </w:r>
      <w:r>
        <w:t xml:space="preserve">designs, ranges and acceptance criteria; the executed studies then classify each parameter and</w:t>
      </w:r>
      <w:r>
        <w:t xml:space="preserve"> </w:t>
      </w:r>
      <w:r>
        <w:t xml:space="preserve">define the design spaces and control strategy (reported in the PCRs and consolidated in</w:t>
      </w:r>
      <w:r>
        <w:t xml:space="preserve"> </w:t>
      </w:r>
      <w:r>
        <w:rPr>
          <w:b/>
          <w:bCs/>
        </w:rPr>
        <w:t xml:space="preserve">PCMR-001</w:t>
      </w:r>
      <w:r>
        <w:t xml:space="preserve"> </w:t>
      </w:r>
      <w:r>
        <w:t xml:space="preserve">and the post-characterization process FMEA).</w:t>
      </w:r>
    </w:p>
    <w:bookmarkEnd w:id="24"/>
    <w:bookmarkStart w:id="26" w:name="roles-and-responsibilities"/>
    <w:p>
      <w:pPr>
        <w:pStyle w:val="Heading1"/>
      </w:pPr>
      <w:r>
        <w:t xml:space="preserve">7. Roles and responsibilities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o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Roles and responsibilities.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Responsibility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Risk Management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 the assessment; run the RRF screen; assign study types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Provide prior-knowledge risk input; execute the assigned studies under the PCPs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Confirm the CQA criticality and the detectability inputs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 the assessment and the resulting characterization scope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approvals-1"/>
    <w:p>
      <w:pPr>
        <w:pStyle w:val="Heading1"/>
      </w:pPr>
      <w:r>
        <w:t xml:space="preserve">8. Approvals</w:t>
      </w:r>
    </w:p>
    <w:p>
      <w:pPr>
        <w:pStyle w:val="FirstParagraph"/>
      </w:pPr>
      <w:r>
        <w:t xml:space="preserve">Approval of this assessment authorizes the characterization scope and study-type assignments</w:t>
      </w:r>
      <w:r>
        <w:t xml:space="preserve"> </w:t>
      </w:r>
      <w:r>
        <w:t xml:space="preserve">carried into the Process Characterization Plans. Signatures are recorded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27"/>
    <w:bookmarkStart w:id="33" w:name="references"/>
    <w:p>
      <w:pPr>
        <w:pStyle w:val="Heading1"/>
      </w:pPr>
      <w:r>
        <w:t xml:space="preserve">References</w:t>
      </w:r>
    </w:p>
    <w:bookmarkStart w:id="32" w:name="refs"/>
    <w:bookmarkStart w:id="28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28"/>
    <w:bookmarkStart w:id="29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29"/>
    <w:bookmarkStart w:id="30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30"/>
    <w:bookmarkStart w:id="31" w:name="ref-ichq9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31"/>
    <w:bookmarkEnd w:id="32"/>
    <w:p>
      <w:r>
        <w:br w:type="page"/>
      </w:r>
    </w:p>
    <w:bookmarkEnd w:id="33"/>
    <w:bookmarkStart w:id="35" w:name="X67b4b034c047e5656cd10c7f2349f59ed778265"/>
    <w:p>
      <w:pPr>
        <w:pStyle w:val="Heading1"/>
      </w:pPr>
      <w:r>
        <w:t xml:space="preserve">Appendix A — Prospective failure modes and effects</w:t>
      </w:r>
    </w:p>
    <w:p>
      <w:pPr>
        <w:pStyle w:val="FirstParagraph"/>
      </w:pPr>
      <w:r>
        <w:t xml:space="preserve">The prospective (pre-characterization) failure mode and effect underlying each parameter’s</w:t>
      </w:r>
      <w:r>
        <w:t xml:space="preserve"> </w:t>
      </w:r>
      <w:r>
        <w:t xml:space="preserve">risk ranking, from the curated A-Mab failure-mode content source. These are the hypotheses the</w:t>
      </w:r>
      <w:r>
        <w:t xml:space="preserve"> </w:t>
      </w:r>
      <w:r>
        <w:t xml:space="preserve">characterization studies test; the confirmed effects and the resulting classification are</w:t>
      </w:r>
      <w:r>
        <w:t xml:space="preserve"> </w:t>
      </w:r>
      <w:r>
        <w:t xml:space="preserve">reported in the PCRs and the post-characterization process FMEA.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ap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Appendix A — prospective failure modes and effects per process parameter.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2"/>
              <w:gridCol w:w="720"/>
              <w:gridCol w:w="1824"/>
              <w:gridCol w:w="2424"/>
              <w:gridCol w:w="27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failure mode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effect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CQA(s)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 excursion outside the characterized range (6.6-7.1)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Shifts glycosylation (ADCC via afucosylation; CDC via galactosylation) and charge/aggregate profile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Afucosylation, Galactosylation (total %Gal), High Mannose, Acidic charge variants (deamidation), Aggregates (HMW)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 excursion outside 34-36 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Alters afucosylation, galactosylation and acidic charge variants; interacts with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Afucosylation, Galactosylation (total %Gal), Acidic charge variants (deamidation)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outside 40-160 mmHg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Strong effect on galactosylation and acidic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%Gal), Acidic charge variants (deamidation)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 outside 360-440 mOsm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galactosylation and acidic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%Gal), Acidic charge variants (deamidation)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extended beyond 15-19 days / harvested on low viability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Lowers afucosylation &amp; galactosylation; raises HCP/DNA and aggregate as viability declines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Afucosylation, Galactosylation (total %Gal), Aggregates (HMW), Host Cell Protein (HCP), Residual DNA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oxygen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 outside 30-70%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Impacts peak VCD, titer and process consistency (no significant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Initial viable cell conc.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Inoculation density outside 0.5-1.5e6/mL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Drives peak/integral VCD and titer; no product-quality impact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Basal medium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Basal medium concentration outside 0.8-1.6X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Statistically significant but shallow effect on afucosylation; drives titer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volume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volume outside 9-15% WV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Slight effect on galactosylation; critical for titer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rcf outside 6000-12000 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clarification/yield (no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 outside 80-160 L/m2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filter capacity/turbidity (no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 high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Feed quality to Protein A (no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 above characterized range (&gt;50 g/L resin)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Increases pool HCP (interaction with elution pH)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pH below characterized range (&lt;3.2)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Increases pool HCP; also sets up viral inactivation feed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 high with high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Reduces product yield (no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End-of-pool collection outside 2.0-3.2 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product yield (no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 outside characterized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significant product-quality impact expected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 height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 outside characterized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significant product-quality impact expected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 &gt; 4.0 (incomplete inactivation) or pH &lt; 3.2 (aggregation/precipitation)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Loss of XMuLV inactivation assurance or increased aggregate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(enveloped), Aggregates (HMW)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 &lt; 60 min (incomplete) or &gt; 180 min (aggregation)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Incomplete inactivation or increased aggregate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(HMW), Viral clearance — XMuLV (enveloped)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 &lt; 15 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 inactivation rate at short time / higher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Concentration &gt; 35 g/L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significant effect on inactivation, aggregation or charge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 above characterized range (&gt;40 g/L resin)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aggregate and HCP clearance (interactions with pH and wash conductivity)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(HMW), 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 below 3 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HCP clearance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pH outside 5.8-6.2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Alters aggregate distribution and yield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Extended elution stop-collect (&gt;1.5 OD)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Minor increase in pool aggregate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flow rate outside 100-300 cm/hr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peak shape and yield (minor aggregate)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 below characterized range (&lt;7.2)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HCP removal and reduced XMuLV/MVM clearance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(HCP), Viral clearance — XMuLV (enveloped), Viral clearance — MVM (parvovirus)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 above 3.6 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HCP removal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 above characterized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viral clearance (interacts with pH)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(enveloped), Viral clearance — MVM (parvovirus)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 above characterized range (&gt;300 g/L resin)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HCP removal capacity (viral clearance robust)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 above 450 cm/hr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residence time / viral clearance margin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(enveloped), Viral clearance — MVM (parvovirus)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volume (load)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Volumetric load above 105 L/m2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MVM log-reduction (parvovirus breakthrough risk)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 outside filter operating limits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impact on virus removal at high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(parvovirus), Viral clearance — XMuLV (enveloped)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Number of diavolumes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Diavolumes &lt; 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Incomplete buffer exchange (formulation; not part of DS characterization)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Transmembrane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TMP outside 10-15 psi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flux/processing (formulation)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DS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concentration outside 65-85 g/L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DS concentration spec (formulation)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</w:tbl>
          <w:bookmarkEnd w:id="34"/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Pre-Characterization Process Risk Assessment</dc:title>
  <dc:creator>Manufacturing Science &amp; Technology (MSAT) / Quality Risk Management</dc:creator>
  <cp:keywords/>
  <dcterms:created xsi:type="dcterms:W3CDTF">2026-07-25T10:58:21Z</dcterms:created>
  <dcterms:modified xsi:type="dcterms:W3CDTF">2026-07-25T10:58:21Z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python3</vt:lpwstr>
  </property>
  <property fmtid="{D5CDD505-2E9C-101B-9397-08002B2CF9AE}" pid="12" name="labels">
    <vt:lpwstr/>
  </property>
  <property fmtid="{D5CDD505-2E9C-101B-9397-08002B2CF9AE}" pid="13" name="subtitle">
    <vt:lpwstr>A-Mab Drug Substance — Risk Ranking and Study-Type Assignment — RA-001</vt:lpwstr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