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Quality Assurance (investigator)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 &amp; Technology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Head of Quality</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narrows the NOR of protein load, because over the NOR as it was characterized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30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deviations recorded in the step reports keep the disposition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17,069 ng/mg. On the model that PCR-005 Version 2.0 uses, its upper 95 % prediction limit over the NOR as characterized is 92 %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as characterized, the model is not qualified for pool host cell protein, on the planned runs alone or on all runs. With the ratio at the low end of its interval, which raises the prediction at manufacturing scale, the upper prediction limit over that NOR is 17,143 ng/mg on all runs, above the criterion. The Protein A report PCR-005 Version 2.0 therefore narrows the NOR of protein load at its high end, from 20–40 g/L resin to 20–39 g/L resin. Over the narrowed NOR, that limit is 16,763 ng/mg on all runs, and the model is qualified. On the planned runs alone it is 18,786 ng/mg, and the model would not be qualified. The further runs therefore made the qualification possible. The decision to make them was taken after the result on the planned runs was known. The qualification therefore rests on runs added after a result was seen, and this is a limitation of it.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18.0–39.6</w:t>
                  </w:r>
                </w:p>
              </w:tc>
              <w:tc>
                <w:tcPr/>
                <w:p>
                  <w:pPr>
                    <w:pStyle w:val="Compact"/>
                    <w:jc w:val="center"/>
                  </w:pPr>
                  <w:r>
                    <w:t xml:space="preserve">Carried back, widened</w:t>
                  </w:r>
                  <w:r>
                    <w:rPr>
                      <w:vertAlign w:val="superscript"/>
                    </w:rPr>
                    <w:t xml:space="preserve">b)</w:t>
                  </w:r>
                  <w:r>
                    <w:t xml:space="preserve"> </w:t>
                  </w:r>
                  <w:r>
                    <w:t xml:space="preserve">from 18.0–39.0</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b)</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b)</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b)</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Widened on verification: a downstream step did better than the platform worst case at the one-sided 95 % prediction bound of a single batch, on an adequate model.</w:t>
                  </w:r>
                </w:p>
              </w:tc>
            </w:tr>
            <w:tr>
              <w:tc>
                <w:tcPr>
                  <w:gridSpan w:val="6"/>
                </w:tcPr>
                <w:p>
                  <w:pPr>
                    <w:pStyle w:val="Compact"/>
                    <w:jc w:val="center"/>
                  </w:pPr>
                  <w:r>
                    <w:rPr>
                      <w:vertAlign w:val="superscript"/>
                    </w:rPr>
                    <w:t xml:space="preserve">c)</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and of the hold study,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4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18.0–39.6</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because the prediction within the NOR was no worse than the platform value. For 3 of them the single-batch bound was also better than the platform value, on an adequate model, and the criteria upstream were recalculated with the bound.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Better, widened</w:t>
                  </w:r>
                  <w:r>
                    <w:rPr>
                      <w:vertAlign w:val="superscript"/>
                    </w:rPr>
                    <w:t xml:space="preserve">a)</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c)</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c)</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c)</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lowest clearance the model predicts is 44.9-fold, and the single-batch bound is 36.7-fold.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4.27-fold, which is better than the platform value of 4.00-fold. The anion exchange model passes the adequacy tests, so this bound replaced the platform value. The anion exchange bound widened the cation exchange criterion for host cell protein from 400 to 427 ng/mg. Carried back through the platform value at cation exchange and this bound at anion exchange, the Protein A criterion for host cell protein was widened from 16,000 to 17,069 ng/mg. The Protein A criterion is also wider than the Version 1.0 limit of 10,724 ng/mg, which was never an approved criterion (finding F1). In all, 4 criteria were widened, for acidic variants at the production bioreactor step,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lowest fold clearance the response surface model of this campaign predicts is 1.58, and the single-batch bound is 1.40. The aggregate criteria upstream of cation exchange were recalculated with the bound, and the 2 aggregate criteria at the production bioreactor and low-pH viral inactivation steps were tightened. At the bioreactor the same criterion was also widened, because the single-batch bound of the aggregate increase at low-pH viral inactivation, 0.56 percentage points, is smaller than the platform value of 0.70. The bioreactor criterion for acidic variants was widened in the same way, on the increase of acidic variants at low-pH viral inactivation (0.40 points against a platform value of 1.00). Both platform values are increases over a hold of 180 min. The A-Mab values are increases within the NOR as characterized, where the hold lasts at most 120 min. For aggregate, the largest increase measured at the edges of the range studied, which include a hold of 180 min, is 0.84 points, above the platform value. That criterion therefore moved because the A-Mab hold is shorter, not because A-Mab is more stable at low pH. For acidic variants, the largest increase measured at the edges of the range studied is 0.60 points, below the platform value even over a hold of 180 min. A-Mab therefore adds less than the platform products over the same hold, and its shorter hold lowers the increase further. Both are still the right criteria, because routine manufacture does not hold longer than the NOR.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dissolved CO2 (pCO2) rises, in this campaign’s response surface model and in the response surface estimates of the published A-Mab case study</w:t>
      </w:r>
      <w:r>
        <w:t xml:space="preserve"> </w:t>
      </w:r>
      <w:r>
        <w:t xml:space="preserve">(CMC Biotech Working Group 2009, Table 3.16)</w:t>
      </w:r>
      <w:r>
        <w:t xml:space="preserve">. For dissolved CO2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dissolved CO2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dissolved CO2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dissolved CO2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18.0–39.6</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6.46</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427</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at the Protein A and low-pH viral inactivation steps and set-points at low-pH viral inactivation, which PCR-005 and PCR-006 Version 2.0 change (§2,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2026-10-09T15:57:51Z</dcterms:created>
  <dcterms:modified xsi:type="dcterms:W3CDTF">2026-10-09T15:57:51Z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