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88.png" ContentType="image/png"/>
  <Override PartName="/word/media/rId76.png" ContentType="image/png"/>
  <Override PartName="/word/media/rId92.png" ContentType="image/png"/>
  <Override PartName="/word/media/rId80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AMV, analytical method validation;</w:t>
      </w:r>
      <w:r>
        <w:t xml:space="preserve"> </w:t>
      </w:r>
      <w:r>
        <w:t xml:space="preserve">Cpk, one-sided process capability index; CPP, critical process parameter; CV, coefficient</w:t>
      </w:r>
      <w:r>
        <w:t xml:space="preserve"> </w:t>
      </w:r>
      <w:r>
        <w:t xml:space="preserve">of variation; ELISA, enzyme-linked immunosorbent assay; GPP, general process parameter;</w:t>
      </w:r>
      <w:r>
        <w:t xml:space="preserve"> </w:t>
      </w:r>
      <w:r>
        <w:t xml:space="preserve">HCP, host cell protein; HILIC, hydrophilic interaction liquid chromatography; HMW, high</w:t>
      </w:r>
      <w:r>
        <w:t xml:space="preserve"> </w:t>
      </w:r>
      <w:r>
        <w:t xml:space="preserve">molecular weight; icIEF, imaged capillary isoelectric focusing; KPP, key process</w:t>
      </w:r>
      <w:r>
        <w:t xml:space="preserve"> </w:t>
      </w:r>
      <w:r>
        <w:t xml:space="preserve">parameter; MSAT, Manufacturing Science and Technology; NOR, normal operating range; PAR,</w:t>
      </w:r>
      <w:r>
        <w:t xml:space="preserve"> </w:t>
      </w:r>
      <w:r>
        <w:t xml:space="preserve">proven acceptable range; pCO₂, dissolved carbon dioxide partial pressure; qPCR,</w:t>
      </w:r>
      <w:r>
        <w:t xml:space="preserve"> </w:t>
      </w:r>
      <w:r>
        <w:t xml:space="preserve">quantitative polymerase chain reaction; RMSE, root mean square error; RSD, relative</w:t>
      </w:r>
      <w:r>
        <w:t xml:space="preserve"> </w:t>
      </w:r>
      <w:r>
        <w:t xml:space="preserve">standard deviation; SEC, size exclusion chromatography; SOP, standard operating procedure;</w:t>
      </w:r>
      <w:r>
        <w:t xml:space="preserve"> </w:t>
      </w:r>
      <w:r>
        <w:t xml:space="preserve">UPLC, ultra-high performance liquid chromatography; WC-CPP, well-controlled critical</w:t>
      </w:r>
      <w:r>
        <w:t xml:space="preserve"> </w:t>
      </w:r>
      <w:r>
        <w:t xml:space="preserve">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production bioreactor is the step at which the design space for the A-Mab drug</w:t>
      </w:r>
      <w:r>
        <w:t xml:space="preserve"> </w:t>
      </w:r>
      <w:r>
        <w:t xml:space="preserve">substance is defined, since it forms the glycan, charge variant and aggregate quality</w:t>
      </w:r>
      <w:r>
        <w:t xml:space="preserve"> </w:t>
      </w:r>
      <w:r>
        <w:t xml:space="preserve">attributes and sets the impurity burden that the purification train has to clear. This</w:t>
      </w:r>
      <w:r>
        <w:t xml:space="preserve"> </w:t>
      </w:r>
      <w:r>
        <w:t xml:space="preserve">report presents the executed characterization of the step against its plan (PCP-003), and</w:t>
      </w:r>
      <w:r>
        <w:t xml:space="preserve"> </w:t>
      </w:r>
      <w:r>
        <w:t xml:space="preserve">all studies were run on a qualified scale-down model of the commercial</w:t>
      </w:r>
      <w:r>
        <w:t xml:space="preserve"> </w:t>
      </w:r>
      <w:r>
        <w:t xml:space="preserve">15,000 L fed-batch culture. The work follows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</w:t>
      </w:r>
      <w:r>
        <w:t xml:space="preserve"> </w:t>
      </w:r>
      <w:r>
        <w:t xml:space="preserve">of ICH Q8 and ICH Q11</w:t>
      </w:r>
      <w:r>
        <w:t xml:space="preserve"> </w:t>
      </w:r>
      <w:r>
        <w:t xml:space="preserve">(International Council for Harmonisation 2009, 2012)</w:t>
      </w:r>
      <w:r>
        <w:t xml:space="preserve">, and criticality is treated as a continuum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using the attribute assessment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is well understood. 9 process parameters were characterized and</w:t>
      </w:r>
      <w:r>
        <w:t xml:space="preserve"> </w:t>
      </w:r>
      <w:r>
        <w:t xml:space="preserve">classified, of which 5 are well-controlled critical process parameters</w:t>
      </w:r>
      <w:r>
        <w:t xml:space="preserve"> </w:t>
      </w:r>
      <w:r>
        <w:t xml:space="preserve">(WC-CPP), 3 are key process parameters (KPP) and 1 is a</w:t>
      </w:r>
      <w:r>
        <w:t xml:space="preserve"> </w:t>
      </w:r>
      <w:r>
        <w:t xml:space="preserve">general process parameter (GPP). No parameter at this step required the most stringent</w:t>
      </w:r>
      <w:r>
        <w:t xml:space="preserve"> </w:t>
      </w:r>
      <w:r>
        <w:t xml:space="preserve">(CPP) control. Of the 7 quality attributes set here,</w:t>
      </w:r>
      <w:r>
        <w:t xml:space="preserve"> </w:t>
      </w:r>
      <w:r>
        <w:t xml:space="preserve">5 were measured as responses in the designed experiments. A screening</w:t>
      </w:r>
      <w:r>
        <w:t xml:space="preserve"> </w:t>
      </w:r>
      <w:r>
        <w:t xml:space="preserve">design of 19 runs identified the active factors, and a face-centred central</w:t>
      </w:r>
      <w:r>
        <w:t xml:space="preserve"> </w:t>
      </w:r>
      <w:r>
        <w:t xml:space="preserve">composite design of 28 runs in the 4 active factors is</w:t>
      </w:r>
      <w:r>
        <w:t xml:space="preserve"> </w:t>
      </w:r>
      <w:r>
        <w:t xml:space="preserve">the predictive model and the basis of the design space. Its coefficients of determination</w:t>
      </w:r>
      <w:r>
        <w:t xml:space="preserve"> </w:t>
      </w:r>
      <w:r>
        <w:t xml:space="preserve">range from 0.91 to 0.97, and no</w:t>
      </w:r>
      <w:r>
        <w:t xml:space="preserve"> </w:t>
      </w:r>
      <w:r>
        <w:t xml:space="preserve">response shows significant lack of fit against the centre-point pure error.</w:t>
      </w:r>
    </w:p>
    <w:p>
      <w:pPr>
        <w:pStyle w:val="BodyText"/>
      </w:pPr>
      <w:r>
        <w:t xml:space="preserve">One corner of the characterized region is excluded from the design space. Where culture</w:t>
      </w:r>
      <w:r>
        <w:t xml:space="preserve"> </w:t>
      </w:r>
      <w:r>
        <w:t xml:space="preserve">pH, dissolved CO₂ and culture duration are all at their lower characterization edges and</w:t>
      </w:r>
      <w:r>
        <w:t xml:space="preserve"> </w:t>
      </w:r>
      <w:r>
        <w:t xml:space="preserve">culture temperature is at or above 35.8 °C, the model</w:t>
      </w:r>
      <w:r>
        <w:t xml:space="preserve"> </w:t>
      </w:r>
      <w:r>
        <w:t xml:space="preserve">predicts galactosylation above its upper acceptance limit. The largest predicted</w:t>
      </w:r>
      <w:r>
        <w:t xml:space="preserve"> </w:t>
      </w:r>
      <w:r>
        <w:t xml:space="preserve">exceedance anywhere in the region is 0.27 percentage points.</w:t>
      </w:r>
      <w:r>
        <w:t xml:space="preserve"> </w:t>
      </w:r>
      <w:r>
        <w:t xml:space="preserve">Everywhere else in the characterized region all 5 attributes are predicted</w:t>
      </w:r>
      <w:r>
        <w:t xml:space="preserve"> </w:t>
      </w:r>
      <w:r>
        <w:t xml:space="preserve">within acceptance. Within the normal operating ranges (NOR) the highest predicted</w:t>
      </w:r>
      <w:r>
        <w:t xml:space="preserve"> </w:t>
      </w:r>
      <w:r>
        <w:t xml:space="preserve">galactosylation is 31.8 %, which leaves</w:t>
      </w:r>
      <w:r>
        <w:t xml:space="preserve"> </w:t>
      </w:r>
      <w:r>
        <w:t xml:space="preserve">8.2 percentage points of headroom to the limit.</w:t>
      </w:r>
    </w:p>
    <w:p>
      <w:pPr>
        <w:pStyle w:val="BodyText"/>
      </w:pPr>
      <w:r>
        <w:t xml:space="preserve">Commercial-scale capability was estimated from 2,000 simulated batches</w:t>
      </w:r>
      <w:r>
        <w:t xml:space="preserve"> </w:t>
      </w:r>
      <w:r>
        <w:t xml:space="preserve">operated within the normal operating ranges. The tightest of the five is</w:t>
      </w:r>
      <w:r>
        <w:t xml:space="preserve"> </w:t>
      </w:r>
      <w:r>
        <w:t xml:space="preserve">High Mannose at a one-sided capability index of</w:t>
      </w:r>
      <w:r>
        <w:t xml:space="preserve"> </w:t>
      </w:r>
      <w:r>
        <w:t xml:space="preserve">1.94, with a simulated mean sitting</w:t>
      </w:r>
      <w:r>
        <w:t xml:space="preserve"> </w:t>
      </w:r>
      <w:r>
        <w:t xml:space="preserve">2.99 percentage points above its lower limit</w:t>
      </w:r>
      <w:r>
        <w:t xml:space="preserve"> </w:t>
      </w:r>
      <w:r>
        <w:t xml:space="preserve">and 4.01 percentage points below its upper</w:t>
      </w:r>
      <w:r>
        <w:t xml:space="preserve"> </w:t>
      </w:r>
      <w:r>
        <w:t xml:space="preserve">limit, and the widest is Aggregates (HMW) at 16.1. Since the</w:t>
      </w:r>
      <w:r>
        <w:t xml:space="preserve"> </w:t>
      </w:r>
      <w:r>
        <w:t xml:space="preserve">tightest capability of the whole drug substance process is</w:t>
      </w:r>
      <w:r>
        <w:t xml:space="preserve"> </w:t>
      </w:r>
      <w:r>
        <w:t xml:space="preserve">1.51 and arises at a viral clearance step, nothing formed</w:t>
      </w:r>
      <w:r>
        <w:t xml:space="preserve"> </w:t>
      </w:r>
      <w:r>
        <w:t xml:space="preserve">here limits the process.</w:t>
      </w:r>
    </w:p>
    <w:p>
      <w:pPr>
        <w:pStyle w:val="BodyText"/>
      </w:pPr>
      <w:r>
        <w:t xml:space="preserve">2 deviations were recorded during execution (§13). Both were investigated,</w:t>
      </w:r>
      <w:r>
        <w:t xml:space="preserve"> </w:t>
      </w:r>
      <w:r>
        <w:t xml:space="preserve">impact-assessed and retained, and neither changed a parameter classification or the</w:t>
      </w:r>
      <w:r>
        <w:t xml:space="preserve"> </w:t>
      </w:r>
      <w:r>
        <w:t xml:space="preserve">boundary of the operating region.</w:t>
      </w:r>
    </w:p>
    <w:p>
      <w:pPr>
        <w:pStyle w:val="BodyText"/>
      </w:pPr>
      <w:r>
        <w:t xml:space="preserve">No viral clearance is claimed for this step. Host cell protein (HCP) and residual DNA are</w:t>
      </w:r>
      <w:r>
        <w:t xml:space="preserve"> </w:t>
      </w:r>
      <w:r>
        <w:t xml:space="preserve">generated here and cleared downstream, so their drug substance capability is credited to</w:t>
      </w:r>
      <w:r>
        <w:t xml:space="preserve"> </w:t>
      </w:r>
      <w:r>
        <w:t xml:space="preserve">Protein A chromatography, cation exchange and anion exchange, and the aggregate formed</w:t>
      </w:r>
      <w:r>
        <w:t xml:space="preserve"> </w:t>
      </w:r>
      <w:r>
        <w:t xml:space="preserve">here is polished at cation exchange. What the step guarantees on its own is the glycan and</w:t>
      </w:r>
      <w:r>
        <w:t xml:space="preserve"> </w:t>
      </w:r>
      <w:r>
        <w:t xml:space="preserve">charge variant profile, over the operating region defined in §6 and the proven acceptable</w:t>
      </w:r>
      <w:r>
        <w:t xml:space="preserve"> </w:t>
      </w:r>
      <w:r>
        <w:t xml:space="preserve">ranges (PAR) given in §7. These results roll up into the master report (PCMR-001).</w:t>
      </w:r>
    </w:p>
    <w:bookmarkEnd w:id="12"/>
    <w:bookmarkStart w:id="20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monoclonal antibody whose principal mechanism of</w:t>
      </w:r>
      <w:r>
        <w:t xml:space="preserve"> </w:t>
      </w:r>
      <w:r>
        <w:t xml:space="preserve">action is antibody-dependent cell-mediated cytotoxicity (ADCC). Because effector function</w:t>
      </w:r>
      <w:r>
        <w:t xml:space="preserve"> </w:t>
      </w:r>
      <w:r>
        <w:t xml:space="preserve">depends on the N-linked glycan profile, afucosylation and galactosylation are</w:t>
      </w:r>
      <w:r>
        <w:t xml:space="preserve"> </w:t>
      </w:r>
      <w:r>
        <w:t xml:space="preserve">efficacy-linked quality attributes, and both are formed in cell culture. The drug</w:t>
      </w:r>
      <w:r>
        <w:t xml:space="preserve"> </w:t>
      </w:r>
      <w:r>
        <w:t xml:space="preserve">substance process is a platform process, and its train is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production bioreactor is a fed-batch culture operated at</w:t>
      </w:r>
      <w:r>
        <w:t xml:space="preserve"> </w:t>
      </w:r>
      <w:r>
        <w:t xml:space="preserve">15,000 L working volume, with the culture environment</w:t>
      </w:r>
      <w:r>
        <w:t xml:space="preserve"> </w:t>
      </w:r>
      <w:r>
        <w:t xml:space="preserve">(pH, temperature, dissolved oxygen and dissolved CO₂) held under closed-loop control</w:t>
      </w:r>
      <w:r>
        <w:t xml:space="preserve"> </w:t>
      </w:r>
      <w:r>
        <w:t xml:space="preserve">throughout. A basal medium supports growth to a peak viable cell density of about</w:t>
      </w:r>
      <w:r>
        <w:t xml:space="preserve"> </w:t>
      </w:r>
      <w:r>
        <w:t xml:space="preserve">13.5 million cells/mL, and a nutrient feed sustains</w:t>
      </w:r>
      <w:r>
        <w:t xml:space="preserve"> </w:t>
      </w:r>
      <w:r>
        <w:t xml:space="preserve">productivity through the production phase until the culture is harvested at a nominal</w:t>
      </w:r>
      <w:r>
        <w:t xml:space="preserve"> </w:t>
      </w:r>
      <w:r>
        <w:t xml:space="preserve">titre of 4.37 g/L and a viability of</w:t>
      </w:r>
      <w:r>
        <w:t xml:space="preserve"> </w:t>
      </w:r>
      <w:r>
        <w:t xml:space="preserve">67 %. Harvest and clarification follow as</w:t>
      </w:r>
      <w:r>
        <w:t xml:space="preserve"> </w:t>
      </w:r>
      <w:r>
        <w:t xml:space="preserve">Step 4 and are reported in PCR-004.</w:t>
      </w:r>
    </w:p>
    <w:p>
      <w:pPr>
        <w:pStyle w:val="BodyText"/>
      </w:pPr>
      <w:r>
        <w:t xml:space="preserve">This is the only step of the drug substance process at which product quality attributes</w:t>
      </w:r>
      <w:r>
        <w:t xml:space="preserve"> </w:t>
      </w:r>
      <w:r>
        <w:t xml:space="preserve">are formed. The glycosylation and charge variant distributions are established inside the</w:t>
      </w:r>
      <w:r>
        <w:t xml:space="preserve"> </w:t>
      </w:r>
      <w:r>
        <w:t xml:space="preserve">cell and in the culture fluid, and neither is modified by the platform purification train.</w:t>
      </w:r>
      <w:r>
        <w:t xml:space="preserve"> </w:t>
      </w:r>
      <w:r>
        <w:t xml:space="preserve">Aggregate is formed here and is reduced later at cation exchange, while host cell protein</w:t>
      </w:r>
      <w:r>
        <w:t xml:space="preserve"> </w:t>
      </w:r>
      <w:r>
        <w:t xml:space="preserve">and residual DNA enter the process as the impurity burden of the clarified harvest and are</w:t>
      </w:r>
      <w:r>
        <w:t xml:space="preserve"> </w:t>
      </w:r>
      <w:r>
        <w:t xml:space="preserve">cleared by the three chromatography steps (Protein A, cation exchange and anion exchange).</w:t>
      </w:r>
      <w:r>
        <w:t xml:space="preserve"> </w:t>
      </w:r>
      <w:r>
        <w:t xml:space="preserve">The step makes no contribution to the viral safety claim, which rests on low-pH</w:t>
      </w:r>
      <w:r>
        <w:t xml:space="preserve"> </w:t>
      </w:r>
      <w:r>
        <w:t xml:space="preserve">inactivation,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characterization had five objectives.</w:t>
      </w:r>
    </w:p>
    <w:p>
      <w:pPr>
        <w:numPr>
          <w:ilvl w:val="0"/>
          <w:numId w:val="1001"/>
        </w:numPr>
      </w:pPr>
      <w:r>
        <w:t xml:space="preserve">To quantify the relationship between each prioritized process parameter and each</w:t>
      </w:r>
      <w:r>
        <w:t xml:space="preserve"> </w:t>
      </w:r>
      <w:r>
        <w:t xml:space="preserve">quality attribute formed at the step, over ranges wider than the routine control ranges.</w:t>
      </w:r>
    </w:p>
    <w:p>
      <w:pPr>
        <w:numPr>
          <w:ilvl w:val="0"/>
          <w:numId w:val="1001"/>
        </w:numPr>
      </w:pPr>
      <w:r>
        <w:t xml:space="preserve">To define a multivariate operating region within which those attributes remain inside</w:t>
      </w:r>
      <w:r>
        <w:t xml:space="preserve"> </w:t>
      </w:r>
      <w:r>
        <w:t xml:space="preserve">their acceptance limits.</w:t>
      </w:r>
    </w:p>
    <w:p>
      <w:pPr>
        <w:numPr>
          <w:ilvl w:val="0"/>
          <w:numId w:val="1001"/>
        </w:numPr>
      </w:pPr>
      <w:r>
        <w:t xml:space="preserve">To establish proven acceptable ranges for each parameter, both with the remaining</w:t>
      </w:r>
      <w:r>
        <w:t xml:space="preserve"> </w:t>
      </w:r>
      <w:r>
        <w:t xml:space="preserve">parameters at set-point and with them varying within their normal operating ranges.</w:t>
      </w:r>
    </w:p>
    <w:p>
      <w:pPr>
        <w:numPr>
          <w:ilvl w:val="0"/>
          <w:numId w:val="1001"/>
        </w:numPr>
      </w:pPr>
      <w:r>
        <w:t xml:space="preserve">To assign a final classification to every process parameter of the step, with the</w:t>
      </w:r>
      <w:r>
        <w:t xml:space="preserve"> </w:t>
      </w:r>
      <w:r>
        <w:t xml:space="preserve">evidence for that classification.</w:t>
      </w:r>
    </w:p>
    <w:p>
      <w:pPr>
        <w:numPr>
          <w:ilvl w:val="0"/>
          <w:numId w:val="1001"/>
        </w:numPr>
      </w:pPr>
      <w:r>
        <w:t xml:space="preserve">To justify the Stage 2 operating ranges and the step’s contribution to the control</w:t>
      </w:r>
      <w:r>
        <w:t xml:space="preserve"> </w:t>
      </w:r>
      <w:r>
        <w:t xml:space="preserve">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step, in the sense of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 The development approach is the</w:t>
      </w:r>
      <w:r>
        <w:t xml:space="preserve"> </w:t>
      </w:r>
      <w:r>
        <w:t xml:space="preserve">enhanced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: prior knowledge and risk</w:t>
      </w:r>
      <w:r>
        <w:t xml:space="preserve"> </w:t>
      </w:r>
      <w:r>
        <w:t xml:space="preserve">assessment scope the studies, designed experiments quantify the parameter to attribute</w:t>
      </w:r>
      <w:r>
        <w:t xml:space="preserve"> </w:t>
      </w:r>
      <w:r>
        <w:t xml:space="preserve">relationships, and the resulting understanding is expressed as a design space and a</w:t>
      </w:r>
      <w:r>
        <w:t xml:space="preserve"> </w:t>
      </w:r>
      <w:r>
        <w:t xml:space="preserve">control strategy. Attribute criticality is treated as a continuum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and not as a binary split, and attributes of high and very high</w:t>
      </w:r>
      <w:r>
        <w:t xml:space="preserve"> </w:t>
      </w:r>
      <w:r>
        <w:t xml:space="preserve">criticality are called critical. The criticality assessment, the process model and the</w:t>
      </w:r>
      <w:r>
        <w:t xml:space="preserve"> </w:t>
      </w:r>
      <w:r>
        <w:t xml:space="preserve">factor ranges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Viral safety is evaluated modularly across the process, in the sense of ICH Q5A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Since no clearance is claimed at the production bioreactor, the cumulative claim is</w:t>
      </w:r>
      <w:r>
        <w:t xml:space="preserve"> </w:t>
      </w:r>
      <w:r>
        <w:t xml:space="preserve">consolidated in the master report (PCMR-001) from the steps that do claim it.</w:t>
      </w:r>
    </w:p>
    <w:bookmarkEnd w:id="16"/>
    <w:bookmarkStart w:id="19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document set that frames this report is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 The controlled</w:t>
      </w:r>
      <w:r>
        <w:t xml:space="preserve"> </w:t>
      </w:r>
      <w:r>
        <w:t xml:space="preserve">procedures under which the studies were executed and analysed are listed in</w:t>
      </w:r>
      <w:r>
        <w:t xml:space="preserve"> </w:t>
      </w:r>
      <w:hyperlink w:anchor="tbl-sops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Documents related to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applied to the execution and analysis of the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8"/>
          <w:p/>
        </w:tc>
      </w:tr>
    </w:tbl>
    <w:bookmarkEnd w:id="19"/>
    <w:bookmarkEnd w:id="20"/>
    <w:bookmarkStart w:id="25" w:name="prior-knowledge-and-quality-risk-basis"/>
    <w:p>
      <w:pPr>
        <w:pStyle w:val="Heading1"/>
      </w:pPr>
      <w:r>
        <w:t xml:space="preserve">2. Prior knowledge and quality risk basis</w:t>
      </w:r>
    </w:p>
    <w:p>
      <w:pPr>
        <w:pStyle w:val="FirstParagraph"/>
      </w:pPr>
      <w:r>
        <w:t xml:space="preserve">Prior knowledge and the pre-characterization risk assessment (RA-001) fixed the scope of</w:t>
      </w:r>
      <w:r>
        <w:t xml:space="preserve"> </w:t>
      </w:r>
      <w:r>
        <w:t xml:space="preserve">this study. Together they determined which parameters entered a designed experiment, which</w:t>
      </w:r>
      <w:r>
        <w:t xml:space="preserve"> </w:t>
      </w:r>
      <w:r>
        <w:t xml:space="preserve">were assessed one at a time, and which carried their ranges forward from the platform</w:t>
      </w:r>
      <w:r>
        <w:t xml:space="preserve"> </w:t>
      </w:r>
      <w:r>
        <w:t xml:space="preserve">knowledge space, and they also fixed the mechanistic expectation against which the results</w:t>
      </w:r>
      <w:r>
        <w:t xml:space="preserve"> </w:t>
      </w:r>
      <w:r>
        <w:t xml:space="preserve">below are read.</w:t>
      </w:r>
    </w:p>
    <w:bookmarkStart w:id="21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upstream platform is well established. The same fed-batch platform, the same host cell</w:t>
      </w:r>
      <w:r>
        <w:t xml:space="preserve"> </w:t>
      </w:r>
      <w:r>
        <w:t xml:space="preserve">line lineage and the same basal medium and feed strategy have supported three previous</w:t>
      </w:r>
      <w:r>
        <w:t xml:space="preserve"> </w:t>
      </w:r>
      <w:r>
        <w:t xml:space="preserve">licensed antibodies (X-Mab, Y-Mab and Z-Mab) as well as the A-Mab clinical and engineering</w:t>
      </w:r>
      <w:r>
        <w:t xml:space="preserve"> </w:t>
      </w:r>
      <w:r>
        <w:t xml:space="preserve">campaigns. That body of experience shows which culture parameters move the glycan and</w:t>
      </w:r>
      <w:r>
        <w:t xml:space="preserve"> </w:t>
      </w:r>
      <w:r>
        <w:t xml:space="preserve">charge variant profile, and it also shows the direction of each effect. Characterization</w:t>
      </w:r>
      <w:r>
        <w:t xml:space="preserve"> </w:t>
      </w:r>
      <w:r>
        <w:t xml:space="preserve">at this step confirms and bounds known relationships. It is not a search for unknown ones.</w:t>
      </w:r>
    </w:p>
    <w:p>
      <w:pPr>
        <w:pStyle w:val="BodyText"/>
      </w:pPr>
      <w:r>
        <w:t xml:space="preserve">Four mechanistic expectations were carried into the study. First, galactosylation tracks</w:t>
      </w:r>
      <w:r>
        <w:t xml:space="preserve"> </w:t>
      </w:r>
      <w:r>
        <w:t xml:space="preserve">the activity of the Golgi galactosyltransferase and the availability of its nucleotide</w:t>
      </w:r>
      <w:r>
        <w:t xml:space="preserve"> </w:t>
      </w:r>
      <w:r>
        <w:t xml:space="preserve">sugar donor, both of which decline as a culture ages and as ammonium accumulates. Second,</w:t>
      </w:r>
      <w:r>
        <w:t xml:space="preserve"> </w:t>
      </w:r>
      <w:r>
        <w:t xml:space="preserve">high mannose reflects the completeness of mannosidase trimming in the Golgi, which is an</w:t>
      </w:r>
      <w:r>
        <w:t xml:space="preserve"> </w:t>
      </w:r>
      <w:r>
        <w:t xml:space="preserve">enzymatic step and is therefore sensitive to lumenal pH and to temperature. Third,</w:t>
      </w:r>
      <w:r>
        <w:t xml:space="preserve"> </w:t>
      </w:r>
      <w:r>
        <w:t xml:space="preserve">afucosylation reflects the competition between core fucosyltransferase activity and the</w:t>
      </w:r>
      <w:r>
        <w:t xml:space="preserve"> </w:t>
      </w:r>
      <w:r>
        <w:t xml:space="preserve">rate of antibody transit, so it was expected to fall as the culture progresses. Fourth,</w:t>
      </w:r>
      <w:r>
        <w:t xml:space="preserve"> </w:t>
      </w:r>
      <w:r>
        <w:t xml:space="preserve">aggregate formed in culture reflects the residence of secreted antibody in an ageing broth,</w:t>
      </w:r>
      <w:r>
        <w:t xml:space="preserve"> </w:t>
      </w:r>
      <w:r>
        <w:t xml:space="preserve">so it was expected to rise with culture duration and with any condition that lowers</w:t>
      </w:r>
      <w:r>
        <w:t xml:space="preserve"> </w:t>
      </w:r>
      <w:r>
        <w:t xml:space="preserve">colloidal stability (principally a culture pH close to the isoelectric window of the</w:t>
      </w:r>
      <w:r>
        <w:t xml:space="preserve"> </w:t>
      </w:r>
      <w:r>
        <w:t xml:space="preserve">molecule).</w:t>
      </w:r>
    </w:p>
    <w:p>
      <w:pPr>
        <w:pStyle w:val="BodyText"/>
      </w:pPr>
      <w:r>
        <w:t xml:space="preserve">Prior knowledge also fixed the acceptance criteria that the study had to satisfy. The</w:t>
      </w:r>
      <w:r>
        <w:t xml:space="preserve"> </w:t>
      </w:r>
      <w:r>
        <w:t xml:space="preserve">aggregate and host cell protein limits are carried from X-Mab clinical experience, and the</w:t>
      </w:r>
      <w:r>
        <w:t xml:space="preserve"> </w:t>
      </w:r>
      <w:r>
        <w:t xml:space="preserve">glycan limits are set from the exposure to efficacy relationship for A-Mab itself. These</w:t>
      </w:r>
      <w:r>
        <w:t xml:space="preserve"> </w:t>
      </w:r>
      <w:r>
        <w:t xml:space="preserve">are drug substance criteria (see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and they are applied here unchanged.</w:t>
      </w:r>
    </w:p>
    <w:bookmarkEnd w:id="21"/>
    <w:bookmarkStart w:id="23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attributes set or generated at this step are given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with their acceptance</w:t>
      </w:r>
      <w:r>
        <w:t xml:space="preserve"> </w:t>
      </w:r>
      <w:r>
        <w:t xml:space="preserve">criterion, criticality level and Tool #1 score, the last being the product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(CMC Biotech Working Group 2009)</w:t>
      </w:r>
      <w:r>
        <w:t xml:space="preserve">. Attributes scoring high or very high are treated as critical.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set or generated at the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High mannose carries the highest score of the set. Its impact is comparable to that of the</w:t>
      </w:r>
      <w:r>
        <w:t xml:space="preserve"> </w:t>
      </w:r>
      <w:r>
        <w:t xml:space="preserve">other glycan attributes, but its uncertainty is higher, and it is that uncertainty which</w:t>
      </w:r>
      <w:r>
        <w:t xml:space="preserve"> </w:t>
      </w:r>
      <w:r>
        <w:t xml:space="preserve">raises it to very high criticality. Afucosylation and galactosylation follow, both driven</w:t>
      </w:r>
      <w:r>
        <w:t xml:space="preserve"> </w:t>
      </w:r>
      <w:r>
        <w:t xml:space="preserve">by the efficacy link through effector function, and aggregate is of high criticality</w:t>
      </w:r>
      <w:r>
        <w:t xml:space="preserve"> </w:t>
      </w:r>
      <w:r>
        <w:t xml:space="preserve">because of its immunogenicity risk. Acidic charge variants score very low, which reflects</w:t>
      </w:r>
      <w:r>
        <w:t xml:space="preserve"> </w:t>
      </w:r>
      <w:r>
        <w:t xml:space="preserve">a small measured impact and low uncertainty for this molecule.</w:t>
      </w:r>
    </w:p>
    <w:p>
      <w:pPr>
        <w:pStyle w:val="BodyText"/>
      </w:pPr>
      <w:r>
        <w:t xml:space="preserve">5 of these attributes were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aggregate), and the remaining two were not. Host cell protein and residual DNA are</w:t>
      </w:r>
      <w:r>
        <w:t xml:space="preserve"> </w:t>
      </w:r>
      <w:r>
        <w:t xml:space="preserve">impurities of the clarified harvest and not product attributes formed by a parameter</w:t>
      </w:r>
      <w:r>
        <w:t xml:space="preserve"> </w:t>
      </w:r>
      <w:r>
        <w:t xml:space="preserve">setting, so their drug substance levels are determined by downstream clearance. Their</w:t>
      </w:r>
      <w:r>
        <w:t xml:space="preserve"> </w:t>
      </w:r>
      <w:r>
        <w:t xml:space="preserve">burden at harvest nonetheless rises with culture duration, which is one of the reasons</w:t>
      </w:r>
      <w:r>
        <w:t xml:space="preserve"> </w:t>
      </w:r>
      <w:r>
        <w:t xml:space="preserve">duration was carried into the multivariate design, and their clearance is characterized in</w:t>
      </w:r>
      <w:r>
        <w:t xml:space="preserve"> </w:t>
      </w:r>
      <w:r>
        <w:t xml:space="preserve">PCR-005, PCR-007 and PCR-008.</w:t>
      </w:r>
    </w:p>
    <w:bookmarkEnd w:id="23"/>
    <w:bookmarkStart w:id="24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on its potential impact on quality attributes</w:t>
      </w:r>
      <w:r>
        <w:t xml:space="preserve"> </w:t>
      </w:r>
      <w:r>
        <w:t xml:space="preserve">and on its potential to interact with other parameters, and the parameters were then</w:t>
      </w:r>
      <w:r>
        <w:t xml:space="preserve"> </w:t>
      </w:r>
      <w:r>
        <w:t xml:space="preserve">placed in three groups following the approach of the case study</w:t>
      </w:r>
      <w:r>
        <w:t xml:space="preserve"> </w:t>
      </w:r>
      <w:r>
        <w:t xml:space="preserve">(CMC Biotech Working Group 2009)</w:t>
      </w:r>
      <w:r>
        <w:t xml:space="preserve">. The first</w:t>
      </w:r>
      <w:r>
        <w:t xml:space="preserve"> </w:t>
      </w:r>
      <w:r>
        <w:t xml:space="preserve">group holds the parameters warranting multivariate evaluation, the second holds secondary</w:t>
      </w:r>
      <w:r>
        <w:t xml:space="preserve"> </w:t>
      </w:r>
      <w:r>
        <w:t xml:space="preserve">parameters whose ranges could be supported by a univariate study, and the third holds</w:t>
      </w:r>
      <w:r>
        <w:t xml:space="preserve"> </w:t>
      </w:r>
      <w:r>
        <w:t xml:space="preserve">parameters that needed no new study because their ranges are already supported by the</w:t>
      </w:r>
      <w:r>
        <w:t xml:space="preserve"> </w:t>
      </w:r>
      <w:r>
        <w:t xml:space="preserve">platform knowledge space.</w:t>
      </w:r>
    </w:p>
    <w:p>
      <w:pPr>
        <w:pStyle w:val="BodyText"/>
      </w:pPr>
      <w:r>
        <w:t xml:space="preserve">The first group has 5 members (culture pH, culture temperature,</w:t>
      </w:r>
      <w:r>
        <w:t xml:space="preserve"> </w:t>
      </w:r>
      <w:r>
        <w:t xml:space="preserve">dissolved CO₂, osmolality and culture duration), each of which is linked by prior</w:t>
      </w:r>
      <w:r>
        <w:t xml:space="preserve"> </w:t>
      </w:r>
      <w:r>
        <w:t xml:space="preserve">knowledge to at least one glycan or charge variant attribute. Each is also a plausible</w:t>
      </w:r>
      <w:r>
        <w:t xml:space="preserve"> </w:t>
      </w:r>
      <w:r>
        <w:t xml:space="preserve">interaction partner for the others, because they all act on the same intracellular</w:t>
      </w:r>
      <w:r>
        <w:t xml:space="preserve"> </w:t>
      </w:r>
      <w:r>
        <w:t xml:space="preserve">chemistry. The second group holds initial viable cell concentration, which</w:t>
      </w:r>
      <w:r>
        <w:t xml:space="preserve"> </w:t>
      </w:r>
      <w:r>
        <w:t xml:space="preserve">governs the integral of viable cell concentration and hence titre; since prior knowledge</w:t>
      </w:r>
      <w:r>
        <w:t xml:space="preserve"> </w:t>
      </w:r>
      <w:r>
        <w:t xml:space="preserve">does not link it to the glycan profile, a univariate assessment was judged sufficient. The</w:t>
      </w:r>
      <w:r>
        <w:t xml:space="preserve"> </w:t>
      </w:r>
      <w:r>
        <w:t xml:space="preserve">third group holds dissolved oxygen, basal medium concentration and nutrient feed volume,</w:t>
      </w:r>
      <w:r>
        <w:t xml:space="preserve"> </w:t>
      </w:r>
      <w:r>
        <w:t xml:space="preserve">all of which were evaluated multivariately on the prior products. Their A-Mab ranges are</w:t>
      </w:r>
      <w:r>
        <w:t xml:space="preserve"> </w:t>
      </w:r>
      <w:r>
        <w:t xml:space="preserve">carried from that knowledge space, and they were held at their set-points in the designs</w:t>
      </w:r>
      <w:r>
        <w:t xml:space="preserve"> </w:t>
      </w:r>
      <w:r>
        <w:t xml:space="preserve">reported here.</w:t>
      </w:r>
    </w:p>
    <w:p>
      <w:pPr>
        <w:pStyle w:val="BodyText"/>
      </w:pPr>
      <w:r>
        <w:t xml:space="preserve">The characterized ranges were widened deliberately beyond the routine control ranges, with</w:t>
      </w:r>
      <w:r>
        <w:t xml:space="preserve"> </w:t>
      </w:r>
      <w:r>
        <w:t xml:space="preserve">culture pH studied over 2.5 times its normal operating</w:t>
      </w:r>
      <w:r>
        <w:t xml:space="preserve"> </w:t>
      </w:r>
      <w:r>
        <w:t xml:space="preserve">range, dissolved CO₂ over 2.0 times and culture duration</w:t>
      </w:r>
      <w:r>
        <w:t xml:space="preserve"> </w:t>
      </w:r>
      <w:r>
        <w:t xml:space="preserve">over 2.0 times. Widening serves two purposes,</w:t>
      </w:r>
      <w:r>
        <w:t xml:space="preserve"> </w:t>
      </w:r>
      <w:r>
        <w:t xml:space="preserve">because it exposes curvature and interaction that a narrow range would hide and it leaves</w:t>
      </w:r>
      <w:r>
        <w:t xml:space="preserve"> </w:t>
      </w:r>
      <w:r>
        <w:t xml:space="preserve">room to move within the design space later without a new study. The width was bounded by</w:t>
      </w:r>
      <w:r>
        <w:t xml:space="preserve"> </w:t>
      </w:r>
      <w:r>
        <w:t xml:space="preserve">process feasibility in both directions. Culture pH was not taken below</w:t>
      </w:r>
      <w:r>
        <w:t xml:space="preserve"> </w:t>
      </w:r>
      <w:r>
        <w:t xml:space="preserve">6.60, because base addition and lactate accumulation become</w:t>
      </w:r>
      <w:r>
        <w:t xml:space="preserve"> </w:t>
      </w:r>
      <w:r>
        <w:t xml:space="preserve">unrepresentative of the commercial vessel below that point. Culture duration was not</w:t>
      </w:r>
      <w:r>
        <w:t xml:space="preserve"> </w:t>
      </w:r>
      <w:r>
        <w:t xml:space="preserve">extended beyond 19 days, because harvest viability</w:t>
      </w:r>
      <w:r>
        <w:t xml:space="preserve"> </w:t>
      </w:r>
      <w:r>
        <w:t xml:space="preserve">then falls to a level at which the clarification step (Step 4) is no longer</w:t>
      </w:r>
      <w:r>
        <w:t xml:space="preserve"> </w:t>
      </w:r>
      <w:r>
        <w:t xml:space="preserve">representative.</w:t>
      </w:r>
    </w:p>
    <w:bookmarkEnd w:id="24"/>
    <w:bookmarkEnd w:id="25"/>
    <w:bookmarkStart w:id="32" w:name="materials-and-methods"/>
    <w:p>
      <w:pPr>
        <w:pStyle w:val="Heading1"/>
      </w:pPr>
      <w:r>
        <w:t xml:space="preserve">3. Materials and methods</w:t>
      </w:r>
    </w:p>
    <w:bookmarkStart w:id="26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bench-scale stirred-tank bioreactor system of the same design</w:t>
      </w:r>
      <w:r>
        <w:t xml:space="preserve"> </w:t>
      </w:r>
      <w:r>
        <w:t xml:space="preserve">family as the commercial vessel. Both are stirred tanks with equivalent design</w:t>
      </w:r>
      <w:r>
        <w:t xml:space="preserve"> </w:t>
      </w:r>
      <w:r>
        <w:t xml:space="preserve">characteristics (mixing, aeration and mass transfer) and both control the culture</w:t>
      </w:r>
      <w:r>
        <w:t xml:space="preserve"> </w:t>
      </w:r>
      <w:r>
        <w:t xml:space="preserve">environment (pH, temperature, dissolved oxygen and dissolved CO₂) through the same control</w:t>
      </w:r>
      <w:r>
        <w:t xml:space="preserve"> </w:t>
      </w:r>
      <w:r>
        <w:t xml:space="preserve">strategy. The model and its qualification are described in SOP-1001, and the operation of</w:t>
      </w:r>
      <w:r>
        <w:t xml:space="preserve"> </w:t>
      </w:r>
      <w:r>
        <w:t xml:space="preserve">the step in SOP-2003.</w:t>
      </w:r>
    </w:p>
    <w:p>
      <w:pPr>
        <w:pStyle w:val="BodyText"/>
      </w:pPr>
      <w:r>
        <w:t xml:space="preserve">Scale-independent parameters were set at the proposed commercial values. Culture pH,</w:t>
      </w:r>
      <w:r>
        <w:t xml:space="preserve"> </w:t>
      </w:r>
      <w:r>
        <w:t xml:space="preserve">culture temperature, initial viable cell concentration, dissolved oxygen and culture</w:t>
      </w:r>
      <w:r>
        <w:t xml:space="preserve"> </w:t>
      </w:r>
      <w:r>
        <w:t xml:space="preserve">duration fall in this group, and each was operated at the set-point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for the qualification runs. Scale-dependent parameters (agitation, gas flow rates,</w:t>
      </w:r>
      <w:r>
        <w:t xml:space="preserve"> </w:t>
      </w:r>
      <w:r>
        <w:t xml:space="preserve">headspace pressure and working volume) were instead set so that the small-scale culture</w:t>
      </w:r>
      <w:r>
        <w:t xml:space="preserve"> </w:t>
      </w:r>
      <w:r>
        <w:t xml:space="preserve">matched commercial performance. Dissolved CO₂ is the parameter that most obviously does</w:t>
      </w:r>
      <w:r>
        <w:t xml:space="preserve"> </w:t>
      </w:r>
      <w:r>
        <w:t xml:space="preserve">not scale, because stripping is governed by the gas flow per unit volume and by liquid</w:t>
      </w:r>
      <w:r>
        <w:t xml:space="preserve"> </w:t>
      </w:r>
      <w:r>
        <w:t xml:space="preserve">height. It was therefore controlled to the commercial profile as an independent input, and</w:t>
      </w:r>
      <w:r>
        <w:t xml:space="preserve"> </w:t>
      </w:r>
      <w:r>
        <w:t xml:space="preserve">it was carried into the designed experiments as a factor in its own right.</w:t>
      </w:r>
    </w:p>
    <w:p>
      <w:pPr>
        <w:pStyle w:val="BodyText"/>
      </w:pPr>
      <w:r>
        <w:t xml:space="preserve">Qualification compared the small-scale culture with the commercial-equivalent process at</w:t>
      </w:r>
      <w:r>
        <w:t xml:space="preserve"> </w:t>
      </w:r>
      <w:r>
        <w:t xml:space="preserve">target conditions, and agreement was assessed on growth, viability, titre and on the</w:t>
      </w:r>
      <w:r>
        <w:t xml:space="preserve"> </w:t>
      </w:r>
      <w:r>
        <w:t xml:space="preserve">5 quality attributes measured in this study. The centre-point runs of the</w:t>
      </w:r>
      <w:r>
        <w:t xml:space="preserve"> </w:t>
      </w:r>
      <w:r>
        <w:t xml:space="preserve">two designs are the operational form of that comparison, and their reproducibility is</w:t>
      </w:r>
      <w:r>
        <w:t xml:space="preserve"> </w:t>
      </w:r>
      <w:r>
        <w:t xml:space="preserve">reported below (§5.1). The same centre-point variance is the pure-error term against which</w:t>
      </w:r>
      <w:r>
        <w:t xml:space="preserve"> </w:t>
      </w:r>
      <w:r>
        <w:t xml:space="preserve">lack of fit is tested (§5.3). The qualification record itself is held with the study</w:t>
      </w:r>
      <w:r>
        <w:t xml:space="preserve"> </w:t>
      </w:r>
      <w:r>
        <w:t xml:space="preserve">documentation for PCP-003.</w:t>
      </w:r>
    </w:p>
    <w:p>
      <w:pPr>
        <w:pStyle w:val="BodyText"/>
      </w:pPr>
      <w:r>
        <w:t xml:space="preserve">The scale-down warrant for this report is therefore narrow and explicit. The model</w:t>
      </w:r>
      <w:r>
        <w:t xml:space="preserve"> </w:t>
      </w:r>
      <w:r>
        <w:t xml:space="preserve">supports claims about how the 5 measured attributes respond to the</w:t>
      </w:r>
      <w:r>
        <w:t xml:space="preserve"> </w:t>
      </w:r>
      <w:r>
        <w:t xml:space="preserve">5 characterized parameters, over the ranges studied, at the commercial</w:t>
      </w:r>
      <w:r>
        <w:t xml:space="preserve"> </w:t>
      </w:r>
      <w:r>
        <w:t xml:space="preserve">target for every other input. It does not support claims about the absolute titre of a</w:t>
      </w:r>
      <w:r>
        <w:t xml:space="preserve"> </w:t>
      </w:r>
      <w:r>
        <w:t xml:space="preserve">commercial batch, and it does not support extrapolation outside the characterized ranges.</w:t>
      </w:r>
    </w:p>
    <w:bookmarkEnd w:id="26"/>
    <w:bookmarkStart w:id="27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culture is inoculated from the N-1 seed bioreactor at the initial viable cell</w:t>
      </w:r>
      <w:r>
        <w:t xml:space="preserve"> </w:t>
      </w:r>
      <w:r>
        <w:t xml:space="preserve">concentration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basal medium and nutrient feed are prepared</w:t>
      </w:r>
      <w:r>
        <w:t xml:space="preserve"> </w:t>
      </w:r>
      <w:r>
        <w:t xml:space="preserve">under SOP-2004 and released against their own specifications. Medium and feed lots are</w:t>
      </w:r>
      <w:r>
        <w:t xml:space="preserve"> </w:t>
      </w:r>
      <w:r>
        <w:t xml:space="preserve">identity-controlled and quality-controlled inputs, and they were not varied as factors in</w:t>
      </w:r>
      <w:r>
        <w:t xml:space="preserve"> </w:t>
      </w:r>
      <w:r>
        <w:t xml:space="preserve">these studies because the platform experience (§2.1) already bounds their contribution.</w:t>
      </w:r>
    </w:p>
    <w:p>
      <w:pPr>
        <w:pStyle w:val="BodyText"/>
      </w:pPr>
      <w:r>
        <w:t xml:space="preserve">The culture is operated under pH and temperature control from inoculation to harvest, with</w:t>
      </w:r>
      <w:r>
        <w:t xml:space="preserve"> </w:t>
      </w:r>
      <w:r>
        <w:t xml:space="preserve">the nutrient feed delivered as a fixed percentage of working volume on a fixed schedule and</w:t>
      </w:r>
      <w:r>
        <w:t xml:space="preserve"> </w:t>
      </w:r>
      <w:r>
        <w:t xml:space="preserve">dissolved oxygen maintained by sparge control. Dissolved CO₂ is measured in process and is</w:t>
      </w:r>
      <w:r>
        <w:t xml:space="preserve"> </w:t>
      </w:r>
      <w:r>
        <w:t xml:space="preserve">controlled by the sparge and overlay strategy. The culture is terminated at the scheduled</w:t>
      </w:r>
      <w:r>
        <w:t xml:space="preserve"> </w:t>
      </w:r>
      <w:r>
        <w:t xml:space="preserve">duration and is transferred to Step 4 for harvest and clarification.</w:t>
      </w:r>
    </w:p>
    <w:bookmarkEnd w:id="27"/>
    <w:bookmarkStart w:id="29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with a validated method. The methods and their validation</w:t>
      </w:r>
      <w:r>
        <w:t xml:space="preserve"> </w:t>
      </w:r>
      <w:r>
        <w:t xml:space="preserve">reports are listed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, and their performance is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used for the responses of this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three glycan responses (afucosylation, galactosylation and high mannose) are reported</w:t>
      </w:r>
      <w:r>
        <w:t xml:space="preserve"> </w:t>
      </w:r>
      <w:r>
        <w:t xml:space="preserve">from a single released N-glycan map by HILIC-UPLC under AMV-3010, so they are not</w:t>
      </w:r>
      <w:r>
        <w:t xml:space="preserve"> </w:t>
      </w:r>
      <w:r>
        <w:t xml:space="preserve">independent measurements. They are three summaries of one chromatogram, and a shift in the</w:t>
      </w:r>
      <w:r>
        <w:t xml:space="preserve"> </w:t>
      </w:r>
      <w:r>
        <w:t xml:space="preserve">assay affects all three together. Aggregate is measured by size exclusion chromatography (SEC) under AMV-3011 and reported</w:t>
      </w:r>
      <w:r>
        <w:t xml:space="preserve"> </w:t>
      </w:r>
      <w:r>
        <w:t xml:space="preserve">as the high molecular weight percentage, and acidic charge variants are measured by imaged</w:t>
      </w:r>
      <w:r>
        <w:t xml:space="preserve"> </w:t>
      </w:r>
      <w:r>
        <w:t xml:space="preserve">capillary isoelectric focusing (icIEF) under AMV-3013. Host cell protein is measured by</w:t>
      </w:r>
      <w:r>
        <w:t xml:space="preserve"> </w:t>
      </w:r>
      <w:r>
        <w:t xml:space="preserve">ELISA under AMV-3012 and residual DNA by qPCR under AMV-3014. Neither is a response of the</w:t>
      </w:r>
      <w:r>
        <w:t xml:space="preserve"> </w:t>
      </w:r>
      <w:r>
        <w:t xml:space="preserve">designed experiments, and both are reported at the drug substance stage.</w:t>
      </w:r>
    </w:p>
    <w:p>
      <w:pPr>
        <w:pStyle w:val="BodyText"/>
      </w:pPr>
      <w:r>
        <w:t xml:space="preserve">Assay precision is not negligible relative to the effects reported below, since the</w:t>
      </w:r>
      <w:r>
        <w:t xml:space="preserve"> </w:t>
      </w:r>
      <w:r>
        <w:t xml:space="preserve">N-glycan map has an intermediate precision of</w:t>
      </w:r>
      <w:r>
        <w:t xml:space="preserve"> </w:t>
      </w:r>
      <w:r>
        <w:t xml:space="preserve">2.5 % RSD and the host cell protein assay</w:t>
      </w:r>
      <w:r>
        <w:t xml:space="preserve"> </w:t>
      </w:r>
      <w:r>
        <w:t xml:space="preserve">9.5 % RSD. Where a statistically significant effect is</w:t>
      </w:r>
      <w:r>
        <w:t xml:space="preserve"> </w:t>
      </w:r>
      <w:r>
        <w:t xml:space="preserve">small, the assay contribution to it is stated explicitly (§5.2 and §5.4).</w:t>
      </w:r>
    </w:p>
    <w:bookmarkEnd w:id="29"/>
    <w:bookmarkStart w:id="30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harvest, after the culture had reached its scheduled duration and</w:t>
      </w:r>
      <w:r>
        <w:t xml:space="preserve"> </w:t>
      </w:r>
      <w:r>
        <w:t xml:space="preserve">before transfer to clarification, and that harvest sample is the basis of every quality</w:t>
      </w:r>
      <w:r>
        <w:t xml:space="preserve"> </w:t>
      </w:r>
      <w:r>
        <w:t xml:space="preserve">attribute reported here. Growth and metabolite samples were drawn daily for process</w:t>
      </w:r>
      <w:r>
        <w:t xml:space="preserve"> </w:t>
      </w:r>
      <w:r>
        <w:t xml:space="preserve">monitoring and are not analysed in this report.</w:t>
      </w:r>
    </w:p>
    <w:p>
      <w:pPr>
        <w:pStyle w:val="BodyText"/>
      </w:pPr>
      <w:r>
        <w:t xml:space="preserve">Replication is carried at the centre point of each design, with 3 centre</w:t>
      </w:r>
      <w:r>
        <w:t xml:space="preserve"> </w:t>
      </w:r>
      <w:r>
        <w:t xml:space="preserve">points in the screening design and 4 in the response-surface design.</w:t>
      </w:r>
      <w:r>
        <w:t xml:space="preserve"> </w:t>
      </w:r>
      <w:r>
        <w:t xml:space="preserve">Since the centre point of both designs is the commercial target condition, the replicate</w:t>
      </w:r>
      <w:r>
        <w:t xml:space="preserve"> </w:t>
      </w:r>
      <w:r>
        <w:t xml:space="preserve">set does double duty: it estimates pure error for the model checks, and it shows the</w:t>
      </w:r>
      <w:r>
        <w:t xml:space="preserve"> </w:t>
      </w:r>
      <w:r>
        <w:t xml:space="preserve">reproducibility of the scale-down model at target.</w:t>
      </w:r>
    </w:p>
    <w:bookmarkEnd w:id="30"/>
    <w:bookmarkStart w:id="31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set-point is 0 and the edges of the characterization range</w:t>
      </w:r>
      <w:r>
        <w:t xml:space="preserve"> </w:t>
      </w:r>
      <w:r>
        <w:t xml:space="preserve">are the coded levels −1 and +1. Coding puts the factors on a common scale, so that a coefficient</w:t>
      </w:r>
      <w:r>
        <w:t xml:space="preserve"> </w:t>
      </w:r>
      <w:r>
        <w:t xml:space="preserve">measures the change in the response over a half-range and coefficients can be compared</w:t>
      </w:r>
      <w:r>
        <w:t xml:space="preserve"> </w:t>
      </w:r>
      <w:r>
        <w:t xml:space="preserve">directly</w:t>
      </w:r>
      <w:r>
        <w:t xml:space="preserve"> </w:t>
      </w:r>
      <w:r>
        <w:t xml:space="preserve">(CMC Biotech Working Group 2009)</w:t>
      </w:r>
      <w:r>
        <w:t xml:space="preserve">. All models were fitted by ordinary least squares under SOP-1002.</w:t>
      </w:r>
    </w:p>
    <w:p>
      <w:pPr>
        <w:pStyle w:val="BodyText"/>
      </w:pPr>
      <w:r>
        <w:t xml:space="preserve">The screening design was analysed with a model containing all main effects and all</w:t>
      </w:r>
      <w:r>
        <w:t xml:space="preserve"> </w:t>
      </w:r>
      <w:r>
        <w:t xml:space="preserve">two-factor interactions. The reported effect is twice the coded coefficient, which is the</w:t>
      </w:r>
      <w:r>
        <w:t xml:space="preserve"> </w:t>
      </w:r>
      <w:r>
        <w:t xml:space="preserve">change in the response across the full characterized range of that factor. The</w:t>
      </w:r>
      <w:r>
        <w:t xml:space="preserve"> </w:t>
      </w:r>
      <w:r>
        <w:t xml:space="preserve">response-surface design was analysed with the full quadratic model in the</w:t>
      </w:r>
      <w:r>
        <w:t xml:space="preserve"> </w:t>
      </w:r>
      <w:r>
        <w:t xml:space="preserve">4 factors carried forward (main effects, two-factor interactions and</w:t>
      </w:r>
      <w:r>
        <w:t xml:space="preserve"> </w:t>
      </w:r>
      <w:r>
        <w:t xml:space="preserve">pure quadratic terms). Terms were judged significant at α = 0.05.</w:t>
      </w:r>
    </w:p>
    <w:p>
      <w:pPr>
        <w:pStyle w:val="BodyText"/>
      </w:pPr>
      <w:r>
        <w:t xml:space="preserve">Model adequacy was judged on four measures. The coefficient of determination and its</w:t>
      </w:r>
      <w:r>
        <w:t xml:space="preserve"> </w:t>
      </w:r>
      <w:r>
        <w:t xml:space="preserve">adjusted form measure fit, while the predicted coefficient of determination (computed from</w:t>
      </w:r>
      <w:r>
        <w:t xml:space="preserve"> </w:t>
      </w:r>
      <w:r>
        <w:t xml:space="preserve">the prediction error sum of squares) measures how well the model predicts a run that was</w:t>
      </w:r>
      <w:r>
        <w:t xml:space="preserve"> </w:t>
      </w:r>
      <w:r>
        <w:t xml:space="preserve">not used to fit it. The overall F test measures whether the model explains more than</w:t>
      </w:r>
      <w:r>
        <w:t xml:space="preserve"> </w:t>
      </w:r>
      <w:r>
        <w:t xml:space="preserve">noise. Lack of fit was tested by partitioning the residual sum of squares into a</w:t>
      </w:r>
      <w:r>
        <w:t xml:space="preserve"> </w:t>
      </w:r>
      <w:r>
        <w:t xml:space="preserve">lack-of-fit component and the pure error of the centre-point replicates. A response with</w:t>
      </w:r>
      <w:r>
        <w:t xml:space="preserve"> </w:t>
      </w:r>
      <w:r>
        <w:t xml:space="preserve">no significant lack of fit and a positive predicted coefficient of determination is</w:t>
      </w:r>
      <w:r>
        <w:t xml:space="preserve"> </w:t>
      </w:r>
      <w:r>
        <w:t xml:space="preserve">treated as predictive, whereas a response with a significant model but a poor predicted</w:t>
      </w:r>
      <w:r>
        <w:t xml:space="preserve"> </w:t>
      </w:r>
      <w:r>
        <w:t xml:space="preserve">coefficient of determination is treated as adequate for identifying active factors only.</w:t>
      </w:r>
    </w:p>
    <w:p>
      <w:pPr>
        <w:pStyle w:val="BodyText"/>
      </w:pPr>
      <w:r>
        <w:t xml:space="preserve">Proven acceptable ranges were computed from the fitted response-surface model in two ways</w:t>
      </w:r>
      <w:r>
        <w:t xml:space="preserve"> </w:t>
      </w:r>
      <w:r>
        <w:t xml:space="preserve">(§7). Commercial-scale capability was estimated by Monte-Carlo simulation of</w:t>
      </w:r>
      <w:r>
        <w:t xml:space="preserve"> </w:t>
      </w:r>
      <w:r>
        <w:t xml:space="preserve">2,000 batches with every parameter drawn within its normal operating</w:t>
      </w:r>
      <w:r>
        <w:t xml:space="preserve"> </w:t>
      </w:r>
      <w:r>
        <w:t xml:space="preserve">range, and is reported as a one-sided capability index (Cpk) against the binding</w:t>
      </w:r>
      <w:r>
        <w:t xml:space="preserve"> </w:t>
      </w:r>
      <w:r>
        <w:t xml:space="preserve">acceptance limit. All simulations use a fixed seed, so every figure in this report is</w:t>
      </w:r>
      <w:r>
        <w:t xml:space="preserve"> </w:t>
      </w:r>
      <w:r>
        <w:t xml:space="preserve">reproducible from the same inputs.</w:t>
      </w:r>
    </w:p>
    <w:bookmarkEnd w:id="31"/>
    <w:bookmarkEnd w:id="32"/>
    <w:bookmarkStart w:id="39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has two stages. The screening stage resolves which of the</w:t>
      </w:r>
      <w:r>
        <w:t xml:space="preserve"> </w:t>
      </w:r>
      <w:r>
        <w:t xml:space="preserve">5 prioritized factors are active, and it does so over the full</w:t>
      </w:r>
      <w:r>
        <w:t xml:space="preserve"> </w:t>
      </w:r>
      <w:r>
        <w:t xml:space="preserve">characterized ranges, while the response-surface stage takes the active factors forward</w:t>
      </w:r>
      <w:r>
        <w:t xml:space="preserve"> </w:t>
      </w:r>
      <w:r>
        <w:t xml:space="preserve">and adds the curvature needed to predict inside the region. The screening design</w:t>
      </w:r>
      <w:r>
        <w:t xml:space="preserve"> </w:t>
      </w:r>
      <w:r>
        <w:t xml:space="preserve">identifies the factors. The response-surface model is the predictive model and the basis</w:t>
      </w:r>
      <w:r>
        <w:t xml:space="preserve"> </w:t>
      </w:r>
      <w:r>
        <w:t xml:space="preserve">of the design space.</w:t>
      </w:r>
    </w:p>
    <w:bookmarkStart w:id="35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every parameter of the step with its set-point, its normal operating</w:t>
      </w:r>
      <w:r>
        <w:t xml:space="preserve"> </w:t>
      </w:r>
      <w:r>
        <w:t xml:space="preserve">range, its characterized range, its final classification and the study that supports it.</w:t>
      </w:r>
      <w:r>
        <w:t xml:space="preserve"> </w:t>
      </w:r>
      <w:r>
        <w:t xml:space="preserve">The characterized range is the edge of the knowledge space explored in this campaign, and</w:t>
      </w:r>
      <w:r>
        <w:t xml:space="preserve"> </w:t>
      </w:r>
      <w:r>
        <w:t xml:space="preserve">it is not itself a proven acceptable range, which is a per-attribute quantity computed in</w:t>
      </w:r>
      <w:r>
        <w:t xml:space="preserve"> </w:t>
      </w:r>
      <w:r>
        <w:t xml:space="preserve">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Process parameters of the production bioreactor, with set-points, ranges, final classification and supporting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coded letters used in the effect and coefficient tables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</w:t>
      </w:r>
      <w:r>
        <w:t xml:space="preserve"> </w:t>
      </w:r>
      <w:r>
        <w:t xml:space="preserve">same letter denotes the same factor in the screening and response-surface analyses.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Each range was justified separately against prior knowledge. Culture pH spans</w:t>
      </w:r>
      <w:r>
        <w:t xml:space="preserve"> </w:t>
      </w:r>
      <w:r>
        <w:t xml:space="preserve">6.60 to 7.10, which brackets the</w:t>
      </w:r>
      <w:r>
        <w:t xml:space="preserve"> </w:t>
      </w:r>
      <w:r>
        <w:t xml:space="preserve">control range the commercial vessel can hold and reaches the points at which base demand</w:t>
      </w:r>
      <w:r>
        <w:t xml:space="preserve"> </w:t>
      </w:r>
      <w:r>
        <w:t xml:space="preserve">and lactate accumulation change character. Culture temperature spans</w:t>
      </w:r>
      <w:r>
        <w:t xml:space="preserve"> </w:t>
      </w:r>
      <w:r>
        <w:t xml:space="preserve">34 to 36 °C,</w:t>
      </w:r>
      <w:r>
        <w:t xml:space="preserve"> </w:t>
      </w:r>
      <w:r>
        <w:t xml:space="preserve">which covers the shift band used across the platform. Dissolved CO₂ spans</w:t>
      </w:r>
      <w:r>
        <w:t xml:space="preserve"> </w:t>
      </w:r>
      <w:r>
        <w:t xml:space="preserve">40 to 160 mmHg, reaching both</w:t>
      </w:r>
      <w:r>
        <w:t xml:space="preserve"> </w:t>
      </w:r>
      <w:r>
        <w:t xml:space="preserve">the accumulation seen at the largest scale and the low values obtained under aggressive</w:t>
      </w:r>
      <w:r>
        <w:t xml:space="preserve"> </w:t>
      </w:r>
      <w:r>
        <w:t xml:space="preserve">stripping. Osmolality spans 360 to</w:t>
      </w:r>
      <w:r>
        <w:t xml:space="preserve"> </w:t>
      </w:r>
      <w:r>
        <w:t xml:space="preserve">440 mOsm, which covers the feed-driven rise over a</w:t>
      </w:r>
      <w:r>
        <w:t xml:space="preserve"> </w:t>
      </w:r>
      <w:r>
        <w:t xml:space="preserve">full production phase. Culture duration spans 15 to</w:t>
      </w:r>
      <w:r>
        <w:t xml:space="preserve"> </w:t>
      </w:r>
      <w:r>
        <w:t xml:space="preserve">19 days, which brackets the scheduled harvest by a</w:t>
      </w:r>
      <w:r>
        <w:t xml:space="preserve"> </w:t>
      </w:r>
      <w:r>
        <w:t xml:space="preserve">full day in each direction.</w:t>
      </w:r>
    </w:p>
    <w:bookmarkEnd w:id="35"/>
    <w:bookmarkStart w:id="36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is a two-level fractional factorial in the 5</w:t>
      </w:r>
      <w:r>
        <w:t xml:space="preserve"> </w:t>
      </w:r>
      <w:r>
        <w:t xml:space="preserve">prioritized factors, augmented with 3 centre points, for</w:t>
      </w:r>
      <w:r>
        <w:t xml:space="preserve"> </w:t>
      </w:r>
      <w:r>
        <w:t xml:space="preserve">19 runs in total. The fraction is a half-fraction, so the factorial part</w:t>
      </w:r>
      <w:r>
        <w:t xml:space="preserve"> </w:t>
      </w:r>
      <w:r>
        <w:t xml:space="preserve">carries 16 runs, and it is of Resolution V, which means that no main</w:t>
      </w:r>
      <w:r>
        <w:t xml:space="preserve"> </w:t>
      </w:r>
      <w:r>
        <w:t xml:space="preserve">effect is aliased with a two-factor interaction and that two-factor interactions are</w:t>
      </w:r>
      <w:r>
        <w:t xml:space="preserve"> </w:t>
      </w:r>
      <w:r>
        <w:t xml:space="preserve">aliased only with three-factor interactions. Three-factor and higher interactions are</w:t>
      </w:r>
      <w:r>
        <w:t xml:space="preserve"> </w:t>
      </w:r>
      <w:r>
        <w:t xml:space="preserve">assumed negligible, and the runs were executed in randomized order.</w:t>
      </w:r>
    </w:p>
    <w:p>
      <w:pPr>
        <w:pStyle w:val="BodyText"/>
      </w:pPr>
      <w:r>
        <w:t xml:space="preserve">The design supports a model with 16 terms (all main effects and all</w:t>
      </w:r>
      <w:r>
        <w:t xml:space="preserve"> </w:t>
      </w:r>
      <w:r>
        <w:t xml:space="preserve">two-factor interactions), leaving 3 residual degrees of freedom.</w:t>
      </w:r>
      <w:r>
        <w:t xml:space="preserve"> </w:t>
      </w:r>
      <w:r>
        <w:t xml:space="preserve">Since the model is close to saturated, effect estimates from this design are reliable in</w:t>
      </w:r>
      <w:r>
        <w:t xml:space="preserve"> </w:t>
      </w:r>
      <w:r>
        <w:t xml:space="preserve">sign and in rank while their absolute magnitudes and the model’s predictions are not, and</w:t>
      </w:r>
      <w:r>
        <w:t xml:space="preserve"> </w:t>
      </w:r>
      <w:r>
        <w:t xml:space="preserve">neither is used to define the design space. The point is revisited against the fit</w:t>
      </w:r>
      <w:r>
        <w:t xml:space="preserve"> </w:t>
      </w:r>
      <w:r>
        <w:t xml:space="preserve">statistics (§5.2), and the full coded design matrix and the measured responses are given</w:t>
      </w:r>
      <w:r>
        <w:t xml:space="preserve"> </w:t>
      </w:r>
      <w:r>
        <w:t xml:space="preserve">in Appendix A.</w:t>
      </w:r>
    </w:p>
    <w:bookmarkEnd w:id="36"/>
    <w:bookmarkStart w:id="37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is a face-centred central composite design in the</w:t>
      </w:r>
      <w:r>
        <w:t xml:space="preserve"> </w:t>
      </w:r>
      <w:r>
        <w:t xml:space="preserve">4 factors carried forward from screening (culture pH, culture</w:t>
      </w:r>
      <w:r>
        <w:t xml:space="preserve"> </w:t>
      </w:r>
      <w:r>
        <w:t xml:space="preserve">temperature, culture duration and dissolved CO₂). Osmolality was not carried forward,</w:t>
      </w:r>
      <w:r>
        <w:t xml:space="preserve"> </w:t>
      </w:r>
      <w:r>
        <w:t xml:space="preserve">because its main effects were smaller than those of the four retained factors on every</w:t>
      </w:r>
      <w:r>
        <w:t xml:space="preserve"> </w:t>
      </w:r>
      <w:r>
        <w:t xml:space="preserve">response for which it was active and its only appreciable interaction was with culture</w:t>
      </w:r>
      <w:r>
        <w:t xml:space="preserve"> </w:t>
      </w:r>
      <w:r>
        <w:t xml:space="preserve">temperature on galactosylation. Osmolality nonetheless remains in the knowledge space, and</w:t>
      </w:r>
      <w:r>
        <w:t xml:space="preserve"> </w:t>
      </w:r>
      <w:r>
        <w:t xml:space="preserve">its range is supported by the screening result and by the classification rationale (§9).</w:t>
      </w:r>
    </w:p>
    <w:p>
      <w:pPr>
        <w:pStyle w:val="BodyText"/>
      </w:pPr>
      <w:r>
        <w:t xml:space="preserve">The design comprises 16 factorial runs at the corners of the coded</w:t>
      </w:r>
      <w:r>
        <w:t xml:space="preserve"> </w:t>
      </w:r>
      <w:r>
        <w:t xml:space="preserve">cube, 8 axial runs on the faces and 4 centre</w:t>
      </w:r>
      <w:r>
        <w:t xml:space="preserve"> </w:t>
      </w:r>
      <w:r>
        <w:t xml:space="preserve">points, for 28 runs in total. Since the axial points sit on the faces of the</w:t>
      </w:r>
      <w:r>
        <w:t xml:space="preserve"> </w:t>
      </w:r>
      <w:r>
        <w:t xml:space="preserve">cube, no run is required outside the characterized range of any factor. The design</w:t>
      </w:r>
      <w:r>
        <w:t xml:space="preserve"> </w:t>
      </w:r>
      <w:r>
        <w:t xml:space="preserve">supports the full quadratic model of 15 terms with</w:t>
      </w:r>
      <w:r>
        <w:t xml:space="preserve"> </w:t>
      </w:r>
      <w:r>
        <w:t xml:space="preserve">13 residual degrees of freedom, which is enough to test lack of fit</w:t>
      </w:r>
      <w:r>
        <w:t xml:space="preserve"> </w:t>
      </w:r>
      <w:r>
        <w:t xml:space="preserve">against the centre-point pure error. The full coded design matrix and the measured</w:t>
      </w:r>
      <w:r>
        <w:t xml:space="preserve"> </w:t>
      </w:r>
      <w:r>
        <w:t xml:space="preserve">responses are in Appendix B.</w:t>
      </w:r>
    </w:p>
    <w:bookmarkEnd w:id="37"/>
    <w:bookmarkStart w:id="38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Initial viable cell concentration was assessed one at a time over its characterized range</w:t>
      </w:r>
      <w:r>
        <w:t xml:space="preserve"> </w:t>
      </w:r>
      <w:r>
        <w:t xml:space="preserve">of 0.5 to 1.5 million</w:t>
      </w:r>
      <w:r>
        <w:t xml:space="preserve"> </w:t>
      </w:r>
      <w:r>
        <w:t xml:space="preserve">cells/mL, with every other parameter at its set-point. It was excluded from the</w:t>
      </w:r>
      <w:r>
        <w:t xml:space="preserve"> </w:t>
      </w:r>
      <w:r>
        <w:t xml:space="preserve">multivariate design because it acts on the growth trajectory and on the integral of viable</w:t>
      </w:r>
      <w:r>
        <w:t xml:space="preserve"> </w:t>
      </w:r>
      <w:r>
        <w:t xml:space="preserve">cell concentration, and not on the intracellular chemistry that sets the glycan and charge</w:t>
      </w:r>
      <w:r>
        <w:t xml:space="preserve"> </w:t>
      </w:r>
      <w:r>
        <w:t xml:space="preserve">variant profile. Its measured effect is on titre and on the timing of the production</w:t>
      </w:r>
      <w:r>
        <w:t xml:space="preserve"> </w:t>
      </w:r>
      <w:r>
        <w:t xml:space="preserve">phase. The supporting data are held in the study record for PCP-003 and are summarized in</w:t>
      </w:r>
      <w:r>
        <w:t xml:space="preserve"> </w:t>
      </w:r>
      <w:r>
        <w:t xml:space="preserve">the classification rationale (§9).</w:t>
      </w:r>
    </w:p>
    <w:bookmarkEnd w:id="38"/>
    <w:bookmarkEnd w:id="39"/>
    <w:bookmarkStart w:id="73" w:name="results"/>
    <w:p>
      <w:pPr>
        <w:pStyle w:val="Heading1"/>
      </w:pPr>
      <w:r>
        <w:t xml:space="preserve">5. Results</w:t>
      </w:r>
    </w:p>
    <w:bookmarkStart w:id="42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scale-down model reproduces the target condition well enough to resolve the effects</w:t>
      </w:r>
      <w:r>
        <w:t xml:space="preserve"> </w:t>
      </w:r>
      <w:r>
        <w:t xml:space="preserve">reported below.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mean, standard deviation and coefficient of</w:t>
      </w:r>
      <w:r>
        <w:t xml:space="preserve"> </w:t>
      </w:r>
      <w:r>
        <w:t xml:space="preserve">variation of the 4 response-surface centre points, and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same for the 3 screening centre points.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v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reproducibility of the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cv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Coefficients of variation (%CV) at the response-surface centre point range from</w:t>
      </w:r>
      <w:r>
        <w:t xml:space="preserve"> </w:t>
      </w:r>
      <w:r>
        <w:t xml:space="preserve">4.1 % for Acidic variants to</w:t>
      </w:r>
      <w:r>
        <w:t xml:space="preserve"> </w:t>
      </w:r>
      <w:r>
        <w:t xml:space="preserve">9.9 % for High mannose, so high mannose is the</w:t>
      </w:r>
      <w:r>
        <w:t xml:space="preserve"> </w:t>
      </w:r>
      <w:r>
        <w:t xml:space="preserve">least precise of the five and it is also the attribute of highest criticality. Part of</w:t>
      </w:r>
      <w:r>
        <w:t xml:space="preserve"> </w:t>
      </w:r>
      <w:r>
        <w:t xml:space="preserve">that variability is analytical, since the N-glycan map carries an intermediate precision</w:t>
      </w:r>
      <w:r>
        <w:t xml:space="preserve"> </w:t>
      </w:r>
      <w:r>
        <w:t xml:space="preserve">of 2.5 % RSD and high mannose is the smallest of the</w:t>
      </w:r>
      <w:r>
        <w:t xml:space="preserve"> </w:t>
      </w:r>
      <w:r>
        <w:t xml:space="preserve">three glycan summaries reported from it, which gives it the largest relative assay</w:t>
      </w:r>
      <w:r>
        <w:t xml:space="preserve"> </w:t>
      </w:r>
      <w:r>
        <w:t xml:space="preserve">contribution. The remainder is biological variation between nominally identical cultures.</w:t>
      </w:r>
    </w:p>
    <w:p>
      <w:pPr>
        <w:pStyle w:val="BodyText"/>
      </w:pPr>
      <w:r>
        <w:t xml:space="preserve">The screening centre points behave consistently with the response-surface centre points,</w:t>
      </w:r>
      <w:r>
        <w:t xml:space="preserve"> </w:t>
      </w:r>
      <w:r>
        <w:t xml:space="preserve">in that the largest screening coefficient of variation is</w:t>
      </w:r>
      <w:r>
        <w:t xml:space="preserve"> </w:t>
      </w:r>
      <w:r>
        <w:t xml:space="preserve">11.5 % for High mannose against</w:t>
      </w:r>
      <w:r>
        <w:t xml:space="preserve"> </w:t>
      </w:r>
      <w:r>
        <w:t xml:space="preserve">9.9 % for the same response in the</w:t>
      </w:r>
      <w:r>
        <w:t xml:space="preserve"> </w:t>
      </w:r>
      <w:r>
        <w:t xml:space="preserve">response-surface design. One screening centre-point batch was affected by a nutrient feed</w:t>
      </w:r>
      <w:r>
        <w:t xml:space="preserve"> </w:t>
      </w:r>
      <w:r>
        <w:t xml:space="preserve">deviation (§13.2), and its retention does not inflate the screening centre-point</w:t>
      </w:r>
      <w:r>
        <w:t xml:space="preserve"> </w:t>
      </w:r>
      <w:r>
        <w:t xml:space="preserve">variability relative to the response-surface centre points.</w:t>
      </w:r>
    </w:p>
    <w:p>
      <w:pPr>
        <w:pStyle w:val="BodyText"/>
      </w:pPr>
      <w:r>
        <w:t xml:space="preserve">The practical consequence is a resolution floor, because an effect smaller than about the</w:t>
      </w:r>
      <w:r>
        <w:t xml:space="preserve"> </w:t>
      </w:r>
      <w:r>
        <w:t xml:space="preserve">centre-point standard deviation of its response cannot be separated from run-to-run noise</w:t>
      </w:r>
      <w:r>
        <w:t xml:space="preserve"> </w:t>
      </w:r>
      <w:r>
        <w:t xml:space="preserve">whatever its p-value. That floor is applied in the interpretation below.</w:t>
      </w:r>
    </w:p>
    <w:bookmarkEnd w:id="42"/>
    <w:bookmarkStart w:id="49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resolved the active factors for all 5 responses, and</w:t>
      </w:r>
      <w:r>
        <w:t xml:space="preserve"> </w:t>
      </w:r>
      <w:r>
        <w:t xml:space="preserve">the fitted screening models are summarized in</w:t>
      </w:r>
      <w:r>
        <w:t xml:space="preserve"> </w:t>
      </w:r>
      <w:hyperlink w:anchor="tbl-fitscr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fit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fit statistics show why this design identifies but does not predict. Coefficients of</w:t>
      </w:r>
      <w:r>
        <w:t xml:space="preserve"> </w:t>
      </w:r>
      <w:r>
        <w:t xml:space="preserve">determination run from 0.942 to</w:t>
      </w:r>
      <w:r>
        <w:t xml:space="preserve"> </w:t>
      </w:r>
      <w:r>
        <w:t xml:space="preserve">0.998, which looks excellent, but the predicted coefficient of</w:t>
      </w:r>
      <w:r>
        <w:t xml:space="preserve"> </w:t>
      </w:r>
      <w:r>
        <w:t xml:space="preserve">determination is negative for every response and falls as low as</w:t>
      </w:r>
      <w:r>
        <w:t xml:space="preserve"> </w:t>
      </w:r>
      <w:r>
        <w:t xml:space="preserve">-47. A model with 16 terms fitted to</w:t>
      </w:r>
      <w:r>
        <w:t xml:space="preserve"> </w:t>
      </w:r>
      <w:r>
        <w:t xml:space="preserve">19 runs has only 3 residual degrees of freedom, so it</w:t>
      </w:r>
      <w:r>
        <w:t xml:space="preserve"> </w:t>
      </w:r>
      <w:r>
        <w:t xml:space="preserve">absorbs almost all of the variation in the data and then predicts a held-out run worse</w:t>
      </w:r>
      <w:r>
        <w:t xml:space="preserve"> </w:t>
      </w:r>
      <w:r>
        <w:t xml:space="preserve">than the response mean does. The screening results below are read as a ranking of active</w:t>
      </w:r>
      <w:r>
        <w:t xml:space="preserve"> </w:t>
      </w:r>
      <w:r>
        <w:t xml:space="preserve">factors and as evidence of their direction, while the magnitudes used for prediction and</w:t>
      </w:r>
      <w:r>
        <w:t xml:space="preserve"> </w:t>
      </w:r>
      <w:r>
        <w:t xml:space="preserve">for the design space come from the response-surface model (§5.3).</w:t>
      </w:r>
    </w:p>
    <w:p>
      <w:pPr>
        <w:pStyle w:val="BodyText"/>
      </w:pPr>
      <w:r>
        <w:t xml:space="preserve">Afucosylation is governed by culture duration and by its interaction with culture pH, and</w:t>
      </w:r>
      <w:r>
        <w:t xml:space="preserve"> </w:t>
      </w:r>
      <w:r>
        <w:t xml:space="preserve">the largest effects are given in</w:t>
      </w:r>
      <w:r>
        <w:t xml:space="preserve"> </w:t>
      </w:r>
      <w:hyperlink w:anchor="tbl-effafuc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ff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Extending the culture across its full range lowers afucosylation by</w:t>
      </w:r>
      <w:r>
        <w:t xml:space="preserve"> </w:t>
      </w:r>
      <w:r>
        <w:t xml:space="preserve">2.37 percentage points, and the pH by</w:t>
      </w:r>
      <w:r>
        <w:t xml:space="preserve"> </w:t>
      </w:r>
      <w:r>
        <w:t xml:space="preserve">duration interaction is of similar size and opposite sign at</w:t>
      </w:r>
      <w:r>
        <w:t xml:space="preserve"> </w:t>
      </w:r>
      <w:r>
        <w:t xml:space="preserve">+2.46 percentage points, so the duration effect</w:t>
      </w:r>
      <w:r>
        <w:t xml:space="preserve"> </w:t>
      </w:r>
      <w:r>
        <w:t xml:space="preserve">is weaker at high culture pH than at low. 3 terms</w:t>
      </w:r>
      <w:r>
        <w:t xml:space="preserve"> </w:t>
      </w:r>
      <w:r>
        <w:t xml:space="preserve">reach significance at α = 0.05, and the main effects of culture temperature</w:t>
      </w:r>
      <w:r>
        <w:t xml:space="preserve"> </w:t>
      </w:r>
      <w:r>
        <w:t xml:space="preserve">and osmolality do not, although both are of the same order as the significant terms. That</w:t>
      </w:r>
      <w:r>
        <w:t xml:space="preserve"> </w:t>
      </w:r>
      <w:r>
        <w:t xml:space="preserve">is a consequence of the residual degrees of freedom available in this design and not</w:t>
      </w:r>
      <w:r>
        <w:t xml:space="preserve"> </w:t>
      </w:r>
      <w:r>
        <w:t xml:space="preserve">evidence that the two factors are inactive.</w:t>
      </w:r>
    </w:p>
    <w:p>
      <w:pPr>
        <w:pStyle w:val="BodyText"/>
      </w:pPr>
      <w:r>
        <w:t xml:space="preserve">Galactosylation is the most responsive of the 5 attributes, and it is</w:t>
      </w:r>
      <w:r>
        <w:t xml:space="preserve"> </w:t>
      </w:r>
      <w:r>
        <w:t xml:space="preserve">active in every factor (</w:t>
      </w:r>
      <w:hyperlink w:anchor="tbl-effgal">
        <w:r>
          <w:rPr>
            <w:rStyle w:val="Hyperlink"/>
          </w:rPr>
          <w:t xml:space="preserve">Table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f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screening effects on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Extending the culture lowers galactosylation by</w:t>
      </w:r>
      <w:r>
        <w:t xml:space="preserve"> </w:t>
      </w:r>
      <w:r>
        <w:t xml:space="preserve">7.8 percentage points across the</w:t>
      </w:r>
      <w:r>
        <w:t xml:space="preserve"> </w:t>
      </w:r>
      <w:r>
        <w:t xml:space="preserve">characterized range, which is the largest single effect measured in this study, and</w:t>
      </w:r>
      <w:r>
        <w:t xml:space="preserve"> </w:t>
      </w:r>
      <w:r>
        <w:t xml:space="preserve">raising dissolved CO₂ lowers it by</w:t>
      </w:r>
      <w:r>
        <w:t xml:space="preserve"> </w:t>
      </w:r>
      <w:r>
        <w:t xml:space="preserve">5.8 points and raising culture pH by</w:t>
      </w:r>
      <w:r>
        <w:t xml:space="preserve"> </w:t>
      </w:r>
      <w:r>
        <w:t xml:space="preserve">4.6 points. Raising culture temperature</w:t>
      </w:r>
      <w:r>
        <w:t xml:space="preserve"> </w:t>
      </w:r>
      <w:r>
        <w:t xml:space="preserve">acts in the opposite direction and raises it by</w:t>
      </w:r>
      <w:r>
        <w:t xml:space="preserve"> </w:t>
      </w:r>
      <w:r>
        <w:t xml:space="preserve">3.5 points.</w:t>
      </w:r>
      <w:r>
        <w:t xml:space="preserve"> </w:t>
      </w:r>
      <w:r>
        <w:t xml:space="preserve">12 terms are significant, including the pH by</w:t>
      </w:r>
      <w:r>
        <w:t xml:space="preserve"> </w:t>
      </w:r>
      <w:r>
        <w:t xml:space="preserve">duration interaction at +6.9 points and the</w:t>
      </w:r>
      <w:r>
        <w:t xml:space="preserve"> </w:t>
      </w:r>
      <w:r>
        <w:t xml:space="preserve">temperature by osmolality interaction at</w:t>
      </w:r>
      <w:r>
        <w:t xml:space="preserve"> </w:t>
      </w:r>
      <w:r>
        <w:t xml:space="preserve">+3.7 points. Since the interaction structure</w:t>
      </w:r>
      <w:r>
        <w:t xml:space="preserve"> </w:t>
      </w:r>
      <w:r>
        <w:t xml:space="preserve">is as large as the main-effect structure, a response-surface model was needed for this</w:t>
      </w:r>
      <w:r>
        <w:t xml:space="preserve"> </w:t>
      </w:r>
      <w:r>
        <w:t xml:space="preserve">attribute.</w:t>
      </w:r>
    </w:p>
    <w:p>
      <w:pPr>
        <w:pStyle w:val="BodyText"/>
      </w:pPr>
      <w:r>
        <w:t xml:space="preserve">High mannose depends on the fewest factors of the 5 responses</w:t>
      </w:r>
      <w:r>
        <w:t xml:space="preserve"> </w:t>
      </w:r>
      <w:r>
        <w:t xml:space="preserve">(</w:t>
      </w:r>
      <w:hyperlink w:anchor="tbl-effhm">
        <w:r>
          <w:rPr>
            <w:rStyle w:val="Hyperlink"/>
          </w:rPr>
          <w:t xml:space="preserve">Table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ef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Largest screening effects on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Only 2 terms are significant and both are main effects,</w:t>
      </w:r>
      <w:r>
        <w:t xml:space="preserve"> </w:t>
      </w:r>
      <w:r>
        <w:t xml:space="preserve">with culture pH raising high mannose by</w:t>
      </w:r>
      <w:r>
        <w:t xml:space="preserve"> </w:t>
      </w:r>
      <w:r>
        <w:t xml:space="preserve">1.51 percentage points across the characterized</w:t>
      </w:r>
      <w:r>
        <w:t xml:space="preserve"> </w:t>
      </w:r>
      <w:r>
        <w:t xml:space="preserve">range and culture temperature lowering it by</w:t>
      </w:r>
      <w:r>
        <w:t xml:space="preserve"> </w:t>
      </w:r>
      <w:r>
        <w:t xml:space="preserve">1.39 points. The remaining three factors</w:t>
      </w:r>
      <w:r>
        <w:t xml:space="preserve"> </w:t>
      </w:r>
      <w:r>
        <w:t xml:space="preserve">(dissolved CO₂, osmolality and culture duration) show no significant effect. That null</w:t>
      </w:r>
      <w:r>
        <w:t xml:space="preserve"> </w:t>
      </w:r>
      <w:r>
        <w:t xml:space="preserve">result is informative for the control strategy, because it means the attribute of highest</w:t>
      </w:r>
      <w:r>
        <w:t xml:space="preserve"> </w:t>
      </w:r>
      <w:r>
        <w:t xml:space="preserve">criticality is governed by the two parameters the commercial vessel controls most tightly.</w:t>
      </w:r>
      <w:r>
        <w:t xml:space="preserve"> </w:t>
      </w:r>
      <w:r>
        <w:t xml:space="preserve">The three inactive factors were retained in the knowledge space as evidence that the</w:t>
      </w:r>
      <w:r>
        <w:t xml:space="preserve"> </w:t>
      </w:r>
      <w:r>
        <w:t xml:space="preserve">attribute is robust to them over the ranges screened.</w:t>
      </w:r>
    </w:p>
    <w:p>
      <w:pPr>
        <w:pStyle w:val="BodyText"/>
      </w:pPr>
      <w:r>
        <w:t xml:space="preserve">Acidic charge variants respond most strongly to dissolved CO₂ (</w:t>
      </w:r>
      <w:hyperlink w:anchor="tbl-effacid">
        <w:r>
          <w:rPr>
            <w:rStyle w:val="Hyperlink"/>
          </w:rPr>
          <w:t xml:space="preserve">Table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eff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Largest screening effects on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Raising dissolved CO₂ across its characterized range lowers acidic variants by</w:t>
      </w:r>
      <w:r>
        <w:t xml:space="preserve"> </w:t>
      </w:r>
      <w:r>
        <w:t xml:space="preserve">8.2 percentage points, raising culture pH</w:t>
      </w:r>
      <w:r>
        <w:t xml:space="preserve"> </w:t>
      </w:r>
      <w:r>
        <w:t xml:space="preserve">lowers them by 4.2 points and raising</w:t>
      </w:r>
      <w:r>
        <w:t xml:space="preserve"> </w:t>
      </w:r>
      <w:r>
        <w:t xml:space="preserve">culture temperature raises them by</w:t>
      </w:r>
      <w:r>
        <w:t xml:space="preserve"> </w:t>
      </w:r>
      <w:r>
        <w:t xml:space="preserve">3.0 points, with</w:t>
      </w:r>
      <w:r>
        <w:t xml:space="preserve"> </w:t>
      </w:r>
      <w:r>
        <w:t xml:space="preserve">7 terms significant in total. These are large and</w:t>
      </w:r>
      <w:r>
        <w:t xml:space="preserve"> </w:t>
      </w:r>
      <w:r>
        <w:t xml:space="preserve">well-resolved effects of limited practical consequence, because the attribute is of very</w:t>
      </w:r>
      <w:r>
        <w:t xml:space="preserve"> </w:t>
      </w:r>
      <w:r>
        <w:t xml:space="preserve">low criticality and its acceptance criterion is applied as an upper limit that lies far</w:t>
      </w:r>
      <w:r>
        <w:t xml:space="preserve"> </w:t>
      </w:r>
      <w:r>
        <w:t xml:space="preserve">above the observed range. The point is quantified as a capability index (§8).</w:t>
      </w:r>
    </w:p>
    <w:p>
      <w:pPr>
        <w:pStyle w:val="BodyText"/>
      </w:pPr>
      <w:r>
        <w:t xml:space="preserve">Aggregate is governed by culture pH and culture duration (</w:t>
      </w:r>
      <w:hyperlink w:anchor="tbl-effagg">
        <w:r>
          <w:rPr>
            <w:rStyle w:val="Hyperlink"/>
          </w:rPr>
          <w:t xml:space="preserve">Table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eff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Largest screening effects on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Raising culture pH across its range raises harvest aggregate by</w:t>
      </w:r>
      <w:r>
        <w:t xml:space="preserve"> </w:t>
      </w:r>
      <w:r>
        <w:t xml:space="preserve">0.83 percentage points and extending the culture</w:t>
      </w:r>
      <w:r>
        <w:t xml:space="preserve"> </w:t>
      </w:r>
      <w:r>
        <w:t xml:space="preserve">raises it by 0.58 points, and both effects are</w:t>
      </w:r>
      <w:r>
        <w:t xml:space="preserve"> </w:t>
      </w:r>
      <w:r>
        <w:t xml:space="preserve">highly significant. The temperature by duration interaction is also significant at</w:t>
      </w:r>
      <w:r>
        <w:t xml:space="preserve"> </w:t>
      </w:r>
      <w:r>
        <w:t xml:space="preserve">-0.141 percentage points, which is below the</w:t>
      </w:r>
      <w:r>
        <w:t xml:space="preserve"> </w:t>
      </w:r>
      <w:r>
        <w:t xml:space="preserve">centre-point standard deviation of 0.075</w:t>
      </w:r>
      <w:r>
        <w:t xml:space="preserve"> </w:t>
      </w:r>
      <w:r>
        <w:t xml:space="preserve">percentage points for this response, so it is a real term in the model that is too small</w:t>
      </w:r>
      <w:r>
        <w:t xml:space="preserve"> </w:t>
      </w:r>
      <w:r>
        <w:t xml:space="preserve">to matter to the control strategy.</w:t>
      </w:r>
    </w:p>
    <w:bookmarkEnd w:id="49"/>
    <w:bookmarkStart w:id="71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all 5 responses and</w:t>
      </w:r>
      <w:r>
        <w:t xml:space="preserve"> </w:t>
      </w:r>
      <w:r>
        <w:t xml:space="preserve">predictive for four of them, and the fits are summarized in</w:t>
      </w:r>
      <w:r>
        <w:t xml:space="preserve"> </w:t>
      </w:r>
      <w:hyperlink w:anchor="tbl-fitrsm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fit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Response-surface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Coefficients of determination run from 0.911 to</w:t>
      </w:r>
      <w:r>
        <w:t xml:space="preserve"> </w:t>
      </w:r>
      <w:r>
        <w:t xml:space="preserve">0.971, adjusted values do not fall below</w:t>
      </w:r>
      <w:r>
        <w:t xml:space="preserve"> </w:t>
      </w:r>
      <w:r>
        <w:t xml:space="preserve">0.815, and every model is significant with a p-value at or below</w:t>
      </w:r>
      <w:r>
        <w:t xml:space="preserve"> </w:t>
      </w:r>
      <w:r>
        <w:t xml:space="preserve">1.2e-04. The predicted coefficient of determination is the measure</w:t>
      </w:r>
      <w:r>
        <w:t xml:space="preserve"> </w:t>
      </w:r>
      <w:r>
        <w:t xml:space="preserve">that matters for a design space, because it is computed by leaving each run out in turn,</w:t>
      </w:r>
      <w:r>
        <w:t xml:space="preserve"> </w:t>
      </w:r>
      <w:r>
        <w:t xml:space="preserve">and it runs from 0.60 for Acidic variants to</w:t>
      </w:r>
      <w:r>
        <w:t xml:space="preserve"> </w:t>
      </w:r>
      <w:r>
        <w:t xml:space="preserve">0.92. Four of the five models therefore predict a held-out run</w:t>
      </w:r>
      <w:r>
        <w:t xml:space="preserve"> </w:t>
      </w:r>
      <w:r>
        <w:t xml:space="preserve">well, and the model for Acidic variants is the weakest of the set; its</w:t>
      </w:r>
      <w:r>
        <w:t xml:space="preserve"> </w:t>
      </w:r>
      <w:r>
        <w:t xml:space="preserve">predictions are used with the reservation stated at the end of this subsection.</w:t>
      </w:r>
    </w:p>
    <w:p>
      <w:pPr>
        <w:pStyle w:val="BodyText"/>
      </w:pPr>
      <w:r>
        <w:t xml:space="preserve">Lack of fit is not significant for any response.</w:t>
      </w:r>
      <w:r>
        <w:t xml:space="preserve"> </w:t>
      </w:r>
      <w:hyperlink w:anchor="tbl-anovagal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hm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partition for galactosylation and for high mannose, which are the two attributes that</w:t>
      </w:r>
      <w:r>
        <w:t xml:space="preserve"> </w:t>
      </w:r>
      <w:r>
        <w:t xml:space="preserve">carry the design space (§6).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nova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Analysis of variance with lack-of-fit partition,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1.059e-07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nova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Analysis of variance with lack-of-fit partition,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The smallest lack-of-fit p-value across the 5 responses is</w:t>
      </w:r>
      <w:r>
        <w:t xml:space="preserve"> </w:t>
      </w:r>
      <w:r>
        <w:t xml:space="preserve">0.15 for Acidic variants, and since all of them exceed</w:t>
      </w:r>
      <w:r>
        <w:t xml:space="preserve"> </w:t>
      </w:r>
      <w:r>
        <w:t xml:space="preserve">α = 0.05 the quadratic model form is not rejected against the centre-point</w:t>
      </w:r>
      <w:r>
        <w:t xml:space="preserve"> </w:t>
      </w:r>
      <w:r>
        <w:t xml:space="preserve">pure error in any case. The test is a weak one here, because the pure error carries only</w:t>
      </w:r>
      <w:r>
        <w:t xml:space="preserve"> </w:t>
      </w:r>
      <w:r>
        <w:t xml:space="preserve">3 degrees of freedom, and it is reported as one check among</w:t>
      </w:r>
      <w:r>
        <w:t xml:space="preserve"> </w:t>
      </w:r>
      <w:r>
        <w:t xml:space="preserve">four and not as the sole basis of model acceptance.</w:t>
      </w:r>
    </w:p>
    <w:p>
      <w:pPr>
        <w:pStyle w:val="BodyText"/>
      </w:pPr>
      <w:r>
        <w:t xml:space="preserve">The fitted coefficients for the two design-space attributes are given in</w:t>
      </w:r>
      <w:r>
        <w:t xml:space="preserve"> </w:t>
      </w:r>
      <w:hyperlink w:anchor="tbl-coefgal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hm">
        <w:r>
          <w:rPr>
            <w:rStyle w:val="Hyperlink"/>
          </w:rPr>
          <w:t xml:space="preserve">Table 21</w:t>
        </w:r>
      </w:hyperlink>
      <w:r>
        <w:t xml:space="preserve">, on the coded scale, so that each measures the change in the response for a</w:t>
      </w:r>
      <w:r>
        <w:t xml:space="preserve"> </w:t>
      </w:r>
      <w:r>
        <w:t xml:space="preserve">move from the set-point to the edge of the characterized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coe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Response-surface coefficients,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1.094e-05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coe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coefficients,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For galactosylation the four main effects and three of the six interactions are</w:t>
      </w:r>
      <w:r>
        <w:t xml:space="preserve"> </w:t>
      </w:r>
      <w:r>
        <w:t xml:space="preserve">significant and none of the quadratic terms is, so the surface is close to a plane with a</w:t>
      </w:r>
      <w:r>
        <w:t xml:space="preserve"> </w:t>
      </w:r>
      <w:r>
        <w:t xml:space="preserve">twist in it. Culture duration carries the largest coefficient at</w:t>
      </w:r>
      <w:r>
        <w:t xml:space="preserve"> </w:t>
      </w:r>
      <w:r>
        <w:t xml:space="preserve">-3.82, followed by dissolved CO₂ at</w:t>
      </w:r>
      <w:r>
        <w:t xml:space="preserve"> </w:t>
      </w:r>
      <w:r>
        <w:t xml:space="preserve">-2.43 and culture pH at</w:t>
      </w:r>
      <w:r>
        <w:t xml:space="preserve"> </w:t>
      </w:r>
      <w:r>
        <w:t xml:space="preserve">-2.21, while the pH by duration interaction of</w:t>
      </w:r>
      <w:r>
        <w:t xml:space="preserve"> </w:t>
      </w:r>
      <w:r>
        <w:t xml:space="preserve">+2.72 is larger than two of those main effects.</w:t>
      </w:r>
      <w:r>
        <w:t xml:space="preserve"> </w:t>
      </w:r>
      <w:r>
        <w:t xml:space="preserve">For high mannose only 4 terms are significant, with</w:t>
      </w:r>
      <w:r>
        <w:t xml:space="preserve"> </w:t>
      </w:r>
      <w:r>
        <w:t xml:space="preserve">culture pH dominating at +1.09, culture temperature</w:t>
      </w:r>
      <w:r>
        <w:t xml:space="preserve"> </w:t>
      </w:r>
      <w:r>
        <w:t xml:space="preserve">at -0.42 and two small interactions. No quadratic</w:t>
      </w:r>
      <w:r>
        <w:t xml:space="preserve"> </w:t>
      </w:r>
      <w:r>
        <w:t xml:space="preserve">term is significant for either attribute. Coefficient tables for the remaining three</w:t>
      </w:r>
      <w:r>
        <w:t xml:space="preserve"> </w:t>
      </w:r>
      <w:r>
        <w:t xml:space="preserve">responses are in Appendix C.</w:t>
      </w:r>
    </w:p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culture pH and culture duration with the</w:t>
      </w:r>
      <w:r>
        <w:t xml:space="preserve"> </w:t>
      </w:r>
      <w:r>
        <w:t xml:space="preserve">other two factors held at their set-points, 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responses</w:t>
      </w:r>
      <w:r>
        <w:t xml:space="preserve"> </w:t>
      </w:r>
      <w:r>
        <w:t xml:space="preserve">over culture temperature and dissolved CO₂.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outpu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culture pH and culture duration, with culture temperature and dissolved CO2 held at their set-points.</w:t>
            </w:r>
          </w:p>
          <w:bookmarkEnd w:id="5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-tc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tc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culture temperature and dissolved CO2, with culture pH and culture duration held at their set-points.</w:t>
            </w:r>
          </w:p>
          <w:bookmarkEnd w:id="62"/>
        </w:tc>
      </w:tr>
    </w:tbl>
    <w:p>
      <w:pPr>
        <w:pStyle w:val="BodyText"/>
      </w:pPr>
      <w:r>
        <w:t xml:space="preserve">The galactosylation panel of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twist directly, since the contours</w:t>
      </w:r>
      <w:r>
        <w:t xml:space="preserve"> </w:t>
      </w:r>
      <w:r>
        <w:t xml:space="preserve">are not parallel to either axis and their slope with respect to duration changes with pH.</w:t>
      </w:r>
      <w:r>
        <w:t xml:space="preserve"> </w:t>
      </w:r>
      <w:r>
        <w:t xml:space="preserve">The high mannose panel is close to a set of vertical bands, which is what a surface</w:t>
      </w:r>
      <w:r>
        <w:t xml:space="preserve"> </w:t>
      </w:r>
      <w:r>
        <w:t xml:space="preserve">dominated by a single main effect (culture pH) looks like, and the aggregate panel rises</w:t>
      </w:r>
      <w:r>
        <w:t xml:space="preserve"> </w:t>
      </w:r>
      <w:r>
        <w:t xml:space="preserve">monotonically towards high pH and long duration with no interior optimum.</w:t>
      </w:r>
    </w:p>
    <w:p>
      <w:pPr>
        <w:pStyle w:val="BodyText"/>
      </w:pPr>
      <w:r>
        <w:t xml:space="preserve">Diagnostics for the two design-space attributes are given in</w:t>
      </w:r>
      <w:r>
        <w:t xml:space="preserve"> </w:t>
      </w:r>
      <w:hyperlink w:anchor="fig-diagg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hm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aggal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gal-outpu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galactosylation: standardized residuals against predicted values, normal quantile plot, and actual against predicted.</w:t>
            </w:r>
          </w:p>
          <w:bookmarkEnd w:id="6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diaghm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hm-outpu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high mannose: standardized residuals against predicted values, normal quantile plot, and actual against predicted.</w:t>
            </w:r>
          </w:p>
          <w:bookmarkEnd w:id="70"/>
        </w:tc>
      </w:tr>
    </w:tbl>
    <w:p>
      <w:pPr>
        <w:pStyle w:val="BodyText"/>
      </w:pPr>
      <w:r>
        <w:t xml:space="preserve">The residual plots show no structure against the predicted value and no funnel, the normal</w:t>
      </w:r>
      <w:r>
        <w:t xml:space="preserve"> </w:t>
      </w:r>
      <w:r>
        <w:t xml:space="preserve">quantile plots are close to linear over the body of the distribution, and the actual</w:t>
      </w:r>
      <w:r>
        <w:t xml:space="preserve"> </w:t>
      </w:r>
      <w:r>
        <w:t xml:space="preserve">against predicted plots scatter about the identity line without curvature. Taken with the</w:t>
      </w:r>
      <w:r>
        <w:t xml:space="preserve"> </w:t>
      </w:r>
      <w:r>
        <w:t xml:space="preserve">lack-of-fit tests, this supports the quadratic model form for both attributes.</w:t>
      </w:r>
    </w:p>
    <w:p>
      <w:pPr>
        <w:pStyle w:val="BodyText"/>
      </w:pPr>
      <w:r>
        <w:t xml:space="preserve">One reservation applies to Acidic variants, whose predicted coefficient of</w:t>
      </w:r>
      <w:r>
        <w:t xml:space="preserve"> </w:t>
      </w:r>
      <w:r>
        <w:t xml:space="preserve">determination of 0.60 is the lowest of the</w:t>
      </w:r>
      <w:r>
        <w:t xml:space="preserve"> </w:t>
      </w:r>
      <w:r>
        <w:t xml:space="preserve">5 and whose residual standard error is</w:t>
      </w:r>
      <w:r>
        <w:t xml:space="preserve"> </w:t>
      </w:r>
      <w:r>
        <w:t xml:space="preserve">1.57 percentage points against a centre-point</w:t>
      </w:r>
      <w:r>
        <w:t xml:space="preserve"> </w:t>
      </w:r>
      <w:r>
        <w:t xml:space="preserve">standard deviation of 0.88. That model is used</w:t>
      </w:r>
      <w:r>
        <w:t xml:space="preserve"> </w:t>
      </w:r>
      <w:r>
        <w:t xml:space="preserve">in this report to describe the direction and approximate size of the effects on the</w:t>
      </w:r>
      <w:r>
        <w:t xml:space="preserve"> </w:t>
      </w:r>
      <w:r>
        <w:t xml:space="preserve">attribute and to support its capability estimate, and it is not used to set a boundary of</w:t>
      </w:r>
      <w:r>
        <w:t xml:space="preserve"> </w:t>
      </w:r>
      <w:r>
        <w:t xml:space="preserve">the operating region. It does not need to be, because the attribute stays far inside its</w:t>
      </w:r>
      <w:r>
        <w:t xml:space="preserve"> </w:t>
      </w:r>
      <w:r>
        <w:t xml:space="preserve">acceptance limit everywhere in the characterized region.</w:t>
      </w:r>
    </w:p>
    <w:bookmarkEnd w:id="71"/>
    <w:bookmarkStart w:id="72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are consistent with the mechanistic expectations set out earlier (§2.1), and</w:t>
      </w:r>
      <w:r>
        <w:t xml:space="preserve"> </w:t>
      </w:r>
      <w:r>
        <w:t xml:space="preserve">the interactions have a common origin.</w:t>
      </w:r>
    </w:p>
    <w:p>
      <w:pPr>
        <w:pStyle w:val="BodyText"/>
      </w:pPr>
      <w:r>
        <w:t xml:space="preserve">Galactosylation falls as the culture ages, as dissolved CO₂ rises and as culture pH rises,</w:t>
      </w:r>
      <w:r>
        <w:t xml:space="preserve"> </w:t>
      </w:r>
      <w:r>
        <w:t xml:space="preserve">and all three act on the same enzymatic step, since galactose transfer in the Golgi</w:t>
      </w:r>
      <w:r>
        <w:t xml:space="preserve"> </w:t>
      </w:r>
      <w:r>
        <w:t xml:space="preserve">requires both an active transferase and an adequate supply of its nucleotide sugar donor.</w:t>
      </w:r>
      <w:r>
        <w:t xml:space="preserve"> </w:t>
      </w:r>
      <w:r>
        <w:t xml:space="preserve">Late in a fed-batch culture, viability falls, the donor pool contracts and ammonium</w:t>
      </w:r>
      <w:r>
        <w:t xml:space="preserve"> </w:t>
      </w:r>
      <w:r>
        <w:t xml:space="preserve">accumulates. Elevated dissolved CO₂ lowers the pH of the Golgi lumen and moves the</w:t>
      </w:r>
      <w:r>
        <w:t xml:space="preserve"> </w:t>
      </w:r>
      <w:r>
        <w:t xml:space="preserve">transferase away from its optimum, and a higher culture pH shifts the ammonium equilibrium</w:t>
      </w:r>
      <w:r>
        <w:t xml:space="preserve"> </w:t>
      </w:r>
      <w:r>
        <w:t xml:space="preserve">towards free ammonia, which crosses membranes readily and raises lumenal pH with the same</w:t>
      </w:r>
      <w:r>
        <w:t xml:space="preserve"> </w:t>
      </w:r>
      <w:r>
        <w:t xml:space="preserve">consequence. Raising temperature acts in the opposite direction by raising the transfer</w:t>
      </w:r>
      <w:r>
        <w:t xml:space="preserve"> </w:t>
      </w:r>
      <w:r>
        <w:t xml:space="preserve">rate itself.</w:t>
      </w:r>
    </w:p>
    <w:p>
      <w:pPr>
        <w:pStyle w:val="BodyText"/>
      </w:pPr>
      <w:r>
        <w:t xml:space="preserve">The strong pH by duration interaction follows from that shared mechanism, because two</w:t>
      </w:r>
      <w:r>
        <w:t xml:space="preserve"> </w:t>
      </w:r>
      <w:r>
        <w:t xml:space="preserve">conditions that both restrict the same limited galactosylation capacity cannot each remove</w:t>
      </w:r>
      <w:r>
        <w:t xml:space="preserve"> </w:t>
      </w:r>
      <w:r>
        <w:t xml:space="preserve">it in full. The effects are therefore sub-additive, and the fitted interaction coefficient</w:t>
      </w:r>
      <w:r>
        <w:t xml:space="preserve"> </w:t>
      </w:r>
      <w:r>
        <w:t xml:space="preserve">of +2.72 has the sign that sub-additivity</w:t>
      </w:r>
      <w:r>
        <w:t xml:space="preserve"> </w:t>
      </w:r>
      <w:r>
        <w:t xml:space="preserve">predicts, as does the pH by dissolved CO₂ interaction of</w:t>
      </w:r>
      <w:r>
        <w:t xml:space="preserve"> </w:t>
      </w:r>
      <w:r>
        <w:t xml:space="preserve">+2.35. This is why the operating region for</w:t>
      </w:r>
      <w:r>
        <w:t xml:space="preserve"> </w:t>
      </w:r>
      <w:r>
        <w:t xml:space="preserve">this attribute has to be defined multivariately: a set of one-dimensional ranges, each</w:t>
      </w:r>
      <w:r>
        <w:t xml:space="preserve"> </w:t>
      </w:r>
      <w:r>
        <w:t xml:space="preserve">established with the other parameters at their set-points, would understate the joint</w:t>
      </w:r>
      <w:r>
        <w:t xml:space="preserve"> </w:t>
      </w:r>
      <w:r>
        <w:t xml:space="preserve">effect at the corners of the region.</w:t>
      </w:r>
    </w:p>
    <w:p>
      <w:pPr>
        <w:pStyle w:val="BodyText"/>
      </w:pPr>
      <w:r>
        <w:t xml:space="preserve">High mannose behaves differently, and its simplicity has the same explanation. It measures</w:t>
      </w:r>
      <w:r>
        <w:t xml:space="preserve"> </w:t>
      </w:r>
      <w:r>
        <w:t xml:space="preserve">glycans that have escaped mannosidase trimming in the Golgi, and trimming is an enzymatic</w:t>
      </w:r>
      <w:r>
        <w:t xml:space="preserve"> </w:t>
      </w:r>
      <w:r>
        <w:t xml:space="preserve">step whose rate depends on lumenal pH and on temperature but does not compete for a</w:t>
      </w:r>
      <w:r>
        <w:t xml:space="preserve"> </w:t>
      </w:r>
      <w:r>
        <w:t xml:space="preserve">nucleotide sugar donor. Raising culture pH raises lumenal pH, slows trimming and leaves</w:t>
      </w:r>
      <w:r>
        <w:t xml:space="preserve"> </w:t>
      </w:r>
      <w:r>
        <w:t xml:space="preserve">more untrimmed glycan, which is the positive pH coefficient of</w:t>
      </w:r>
      <w:r>
        <w:t xml:space="preserve"> </w:t>
      </w:r>
      <w:r>
        <w:t xml:space="preserve">+1.09, while raising temperature raises the</w:t>
      </w:r>
      <w:r>
        <w:t xml:space="preserve"> </w:t>
      </w:r>
      <w:r>
        <w:t xml:space="preserve">trimming rate and lowers the attribute. Neither culture duration nor dissolved CO₂ has a</w:t>
      </w:r>
      <w:r>
        <w:t xml:space="preserve"> </w:t>
      </w:r>
      <w:r>
        <w:t xml:space="preserve">significant effect, which is consistent with a step limited by enzyme kinetics and not by</w:t>
      </w:r>
      <w:r>
        <w:t xml:space="preserve"> </w:t>
      </w:r>
      <w:r>
        <w:t xml:space="preserve">substrate supply.</w:t>
      </w:r>
    </w:p>
    <w:p>
      <w:pPr>
        <w:pStyle w:val="BodyText"/>
      </w:pPr>
      <w:r>
        <w:t xml:space="preserve">Afucosylation falls with culture duration because core fucosylation competes with</w:t>
      </w:r>
      <w:r>
        <w:t xml:space="preserve"> </w:t>
      </w:r>
      <w:r>
        <w:t xml:space="preserve">secretion, so that as the culture progresses the intracellular donor pool for fucose</w:t>
      </w:r>
      <w:r>
        <w:t xml:space="preserve"> </w:t>
      </w:r>
      <w:r>
        <w:t xml:space="preserve">builds up and a smaller fraction of antibody escapes the transferase. The pH by duration</w:t>
      </w:r>
      <w:r>
        <w:t xml:space="preserve"> </w:t>
      </w:r>
      <w:r>
        <w:t xml:space="preserve">interaction of +1.32 is the same sub-additivity</w:t>
      </w:r>
      <w:r>
        <w:t xml:space="preserve"> </w:t>
      </w:r>
      <w:r>
        <w:t xml:space="preserve">seen for galactosylation, acting on a different transferase.</w:t>
      </w:r>
    </w:p>
    <w:p>
      <w:pPr>
        <w:pStyle w:val="BodyText"/>
      </w:pPr>
      <w:r>
        <w:t xml:space="preserve">Acidic charge variants respond most strongly to dissolved CO₂ and to culture pH, and both</w:t>
      </w:r>
      <w:r>
        <w:t xml:space="preserve"> </w:t>
      </w:r>
      <w:r>
        <w:t xml:space="preserve">act on the extent of sialylation (the largest contributor to the acidic peak group in this</w:t>
      </w:r>
      <w:r>
        <w:t xml:space="preserve"> </w:t>
      </w:r>
      <w:r>
        <w:t xml:space="preserve">platform) in the direction that a lower lumenal pH predicts for sialyltransferase activity.</w:t>
      </w:r>
      <w:r>
        <w:t xml:space="preserve"> </w:t>
      </w:r>
      <w:r>
        <w:t xml:space="preserve">The temperature effect is of opposite sign and is consistent with a chemical contribution</w:t>
      </w:r>
      <w:r>
        <w:t xml:space="preserve"> </w:t>
      </w:r>
      <w:r>
        <w:t xml:space="preserve">from deamidation, whose rate rises with temperature. The mechanistic reading of this</w:t>
      </w:r>
      <w:r>
        <w:t xml:space="preserve"> </w:t>
      </w:r>
      <w:r>
        <w:t xml:space="preserve">attribute is provisional, and it is of little practical consequence for the reasons given</w:t>
      </w:r>
      <w:r>
        <w:t xml:space="preserve"> </w:t>
      </w:r>
      <w:r>
        <w:t xml:space="preserve">in §5.2.</w:t>
      </w:r>
    </w:p>
    <w:p>
      <w:pPr>
        <w:pStyle w:val="BodyText"/>
      </w:pPr>
      <w:r>
        <w:t xml:space="preserve">Aggregate rises with culture pH and with culture duration and with nothing else, and both</w:t>
      </w:r>
      <w:r>
        <w:t xml:space="preserve"> </w:t>
      </w:r>
      <w:r>
        <w:t xml:space="preserve">effects act on the residence of secreted antibody in an ageing broth. A longer culture</w:t>
      </w:r>
      <w:r>
        <w:t xml:space="preserve"> </w:t>
      </w:r>
      <w:r>
        <w:t xml:space="preserve">means a longer exposure of product to proteases and to the products of cell lysis. A</w:t>
      </w:r>
      <w:r>
        <w:t xml:space="preserve"> </w:t>
      </w:r>
      <w:r>
        <w:t xml:space="preserve">higher culture pH moves the broth closer to the region where the net charge on the</w:t>
      </w:r>
      <w:r>
        <w:t xml:space="preserve"> </w:t>
      </w:r>
      <w:r>
        <w:t xml:space="preserve">antibody, and hence the colloidal repulsion between molecules, is reduced. The absence of</w:t>
      </w:r>
      <w:r>
        <w:t xml:space="preserve"> </w:t>
      </w:r>
      <w:r>
        <w:t xml:space="preserve">a dissolved CO₂ effect and of an osmolality effect is consistent with an assembly process</w:t>
      </w:r>
      <w:r>
        <w:t xml:space="preserve"> </w:t>
      </w:r>
      <w:r>
        <w:t xml:space="preserve">governed by exposure time and by surface charge.</w:t>
      </w:r>
    </w:p>
    <w:bookmarkEnd w:id="72"/>
    <w:bookmarkEnd w:id="73"/>
    <w:bookmarkStart w:id="74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characterized region in the four response-surface</w:t>
      </w:r>
      <w:r>
        <w:t xml:space="preserve"> </w:t>
      </w:r>
      <w:r>
        <w:t xml:space="preserve">factors (culture pH, culture temperature, culture duration and dissolved CO₂), with one</w:t>
      </w:r>
      <w:r>
        <w:t xml:space="preserve"> </w:t>
      </w:r>
      <w:r>
        <w:t xml:space="preserve">corner excluded. Osmolality is held within its characterized range, and every other</w:t>
      </w:r>
      <w:r>
        <w:t xml:space="preserve"> </w:t>
      </w:r>
      <w:r>
        <w:t xml:space="preserve">parameter of the step within the range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Within that region the fitted</w:t>
      </w:r>
      <w:r>
        <w:t xml:space="preserve"> </w:t>
      </w:r>
      <w:r>
        <w:t xml:space="preserve">response-surface models predict mean attribute levels inside acceptance for all</w:t>
      </w:r>
      <w:r>
        <w:t xml:space="preserve"> </w:t>
      </w:r>
      <w:r>
        <w:t xml:space="preserve">5 responses.</w:t>
      </w:r>
    </w:p>
    <w:p>
      <w:pPr>
        <w:pStyle w:val="BodyText"/>
      </w:pPr>
      <w:r>
        <w:t xml:space="preserve">The excluded corner is a galactosylation edge of failure, and it bounds the claim made</w:t>
      </w:r>
      <w:r>
        <w:t xml:space="preserve"> </w:t>
      </w:r>
      <w:r>
        <w:t xml:space="preserve">above. Where culture pH is at 6.60, dissolved CO₂ at</w:t>
      </w:r>
      <w:r>
        <w:t xml:space="preserve"> </w:t>
      </w:r>
      <w:r>
        <w:t xml:space="preserve">40 mmHg and culture duration at</w:t>
      </w:r>
      <w:r>
        <w:t xml:space="preserve"> </w:t>
      </w:r>
      <w:r>
        <w:t xml:space="preserve">15 days, all three at their lower characterization</w:t>
      </w:r>
      <w:r>
        <w:t xml:space="preserve"> </w:t>
      </w:r>
      <w:r>
        <w:t xml:space="preserve">edges, the model predicts galactosylation above its upper limit of</w:t>
      </w:r>
      <w:r>
        <w:t xml:space="preserve"> </w:t>
      </w:r>
      <w:r>
        <w:t xml:space="preserve">40 % once culture temperature reaches</w:t>
      </w:r>
      <w:r>
        <w:t xml:space="preserve"> </w:t>
      </w:r>
      <w:r>
        <w:t xml:space="preserve">35.8 °C. The exceedance grows to</w:t>
      </w:r>
      <w:r>
        <w:t xml:space="preserve"> </w:t>
      </w:r>
      <w:r>
        <w:t xml:space="preserve">0.27 percentage points at the extreme corner. The affected</w:t>
      </w:r>
      <w:r>
        <w:t xml:space="preserve"> </w:t>
      </w:r>
      <w:r>
        <w:t xml:space="preserve">volume is small, since it requires three factors at an edge simultaneously and then</w:t>
      </w:r>
      <w:r>
        <w:t xml:space="preserve"> </w:t>
      </w:r>
      <w:r>
        <w:t xml:space="preserve">occupies only the top 0.2 °C of the temperature range at</w:t>
      </w:r>
      <w:r>
        <w:t xml:space="preserve"> </w:t>
      </w:r>
      <w:r>
        <w:t xml:space="preserve">that corner. The corner is nevertheless excluded, and movement into it would be a change</w:t>
      </w:r>
      <w:r>
        <w:t xml:space="preserve"> </w:t>
      </w:r>
      <w:r>
        <w:t xml:space="preserve">requiring prior assessment.</w:t>
      </w:r>
    </w:p>
    <w:p>
      <w:pPr>
        <w:pStyle w:val="BodyText"/>
      </w:pPr>
      <w:r>
        <w:t xml:space="preserve">The principal planes of the region are culture pH against culture duration and culture</w:t>
      </w:r>
      <w:r>
        <w:t xml:space="preserve"> </w:t>
      </w:r>
      <w:r>
        <w:t xml:space="preserve">temperature against dissolved CO₂. The first plane carries the galactosylation and</w:t>
      </w:r>
      <w:r>
        <w:t xml:space="preserve"> </w:t>
      </w:r>
      <w:r>
        <w:t xml:space="preserve">afucosylation twist described earlier (§5.4) as well as the aggregate gradient, and the second</w:t>
      </w:r>
      <w:r>
        <w:t xml:space="preserve"> </w:t>
      </w:r>
      <w:r>
        <w:t xml:space="preserve">carries the acidic variant gradient and the temperature dependence of high mannose.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are the graphical form of the region on these two</w:t>
      </w:r>
      <w:r>
        <w:t xml:space="preserve"> </w:t>
      </w:r>
      <w:r>
        <w:t xml:space="preserve">planes.</w:t>
      </w:r>
    </w:p>
    <w:p>
      <w:pPr>
        <w:pStyle w:val="BodyText"/>
      </w:pPr>
      <w:r>
        <w:t xml:space="preserve">The worst case that the region must satisfy is not the same corner for every attribute.</w:t>
      </w:r>
      <w:r>
        <w:t xml:space="preserve"> </w:t>
      </w:r>
      <w:r>
        <w:t xml:space="preserve">For galactosylation it is low pH with high temperature, short duration and low dissolved</w:t>
      </w:r>
      <w:r>
        <w:t xml:space="preserve"> </w:t>
      </w:r>
      <w:r>
        <w:t xml:space="preserve">CO₂, which is the excluded corner, and for high mannose it is high pH with low</w:t>
      </w:r>
      <w:r>
        <w:t xml:space="preserve"> </w:t>
      </w:r>
      <w:r>
        <w:t xml:space="preserve">temperature, where the predicted level reaches</w:t>
      </w:r>
      <w:r>
        <w:t xml:space="preserve"> </w:t>
      </w:r>
      <w:r>
        <w:t xml:space="preserve">8.60 % against an upper limit of</w:t>
      </w:r>
      <w:r>
        <w:t xml:space="preserve"> </w:t>
      </w:r>
      <w:r>
        <w:t xml:space="preserve">10 %. For aggregate it is high pH</w:t>
      </w:r>
      <w:r>
        <w:t xml:space="preserve"> </w:t>
      </w:r>
      <w:r>
        <w:t xml:space="preserve">with long duration, where the predicted level reaches</w:t>
      </w:r>
      <w:r>
        <w:t xml:space="preserve"> </w:t>
      </w:r>
      <w:r>
        <w:t xml:space="preserve">2.26 % against a limit of</w:t>
      </w:r>
      <w:r>
        <w:t xml:space="preserve"> </w:t>
      </w:r>
      <w:r>
        <w:t xml:space="preserve">5 %. For afucosylation the</w:t>
      </w:r>
      <w:r>
        <w:t xml:space="preserve"> </w:t>
      </w:r>
      <w:r>
        <w:t xml:space="preserve">binding case is the lower limit, and the minimum predicted level anywhere in the region is</w:t>
      </w:r>
      <w:r>
        <w:t xml:space="preserve"> </w:t>
      </w:r>
      <w:r>
        <w:t xml:space="preserve">2.93 % against a lower limit of</w:t>
      </w:r>
      <w:r>
        <w:t xml:space="preserve"> </w:t>
      </w:r>
      <w:r>
        <w:t xml:space="preserve">2 %. Each of these worst cases</w:t>
      </w:r>
      <w:r>
        <w:t xml:space="preserve"> </w:t>
      </w:r>
      <w:r>
        <w:t xml:space="preserve">sits inside acceptance.</w:t>
      </w:r>
    </w:p>
    <w:p>
      <w:pPr>
        <w:pStyle w:val="BodyText"/>
      </w:pPr>
      <w:r>
        <w:t xml:space="preserve">The normal operating ranges sit well inside the region, since over the whole normal</w:t>
      </w:r>
      <w:r>
        <w:t xml:space="preserve"> </w:t>
      </w:r>
      <w:r>
        <w:t xml:space="preserve">operating box the model predicts galactosylation between</w:t>
      </w:r>
      <w:r>
        <w:t xml:space="preserve"> </w:t>
      </w:r>
      <w:r>
        <w:t xml:space="preserve">21.5 % and</w:t>
      </w:r>
      <w:r>
        <w:t xml:space="preserve"> </w:t>
      </w:r>
      <w:r>
        <w:t xml:space="preserve">31.8 % and high mannose between</w:t>
      </w:r>
      <w:r>
        <w:t xml:space="preserve"> </w:t>
      </w:r>
      <w:r>
        <w:t xml:space="preserve">5.18 % and</w:t>
      </w:r>
      <w:r>
        <w:t xml:space="preserve"> </w:t>
      </w:r>
      <w:r>
        <w:t xml:space="preserve">6.90 %. The nesting is the usual one, in that</w:t>
      </w:r>
      <w:r>
        <w:t xml:space="preserve"> </w:t>
      </w:r>
      <w:r>
        <w:t xml:space="preserve">the normal operating range lies inside the design space, which in turn lies inside the</w:t>
      </w:r>
      <w:r>
        <w:t xml:space="preserve"> </w:t>
      </w:r>
      <w:r>
        <w:t xml:space="preserve">characterized knowledge space</w:t>
      </w:r>
      <w:r>
        <w:t xml:space="preserve"> </w:t>
      </w:r>
      <w:r>
        <w:t xml:space="preserve">(CMC Biotech Working Group 2009)</w:t>
      </w:r>
      <w:r>
        <w:t xml:space="preserve">. Operation anywhere within the design space is</w:t>
      </w:r>
      <w:r>
        <w:t xml:space="preserve"> </w:t>
      </w:r>
      <w:r>
        <w:t xml:space="preserve">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, although any planned move within it is</w:t>
      </w:r>
      <w:r>
        <w:t xml:space="preserve"> </w:t>
      </w:r>
      <w:r>
        <w:t xml:space="preserve">still assessed and approved under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 Operation</w:t>
      </w:r>
      <w:r>
        <w:t xml:space="preserve"> </w:t>
      </w:r>
      <w:r>
        <w:t xml:space="preserve">outside it requires a change to the filed process.</w:t>
      </w:r>
    </w:p>
    <w:p>
      <w:pPr>
        <w:pStyle w:val="BodyText"/>
      </w:pPr>
      <w:r>
        <w:t xml:space="preserve">Three bounds apply to this claim. First, it holds only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edges of failure outside those ranges were not located. Second, the</w:t>
      </w:r>
      <w:r>
        <w:t xml:space="preserve"> </w:t>
      </w:r>
      <w:r>
        <w:t xml:space="preserve">surfaces predict mean levels, so at the boundary of the region the predicted mean sits on</w:t>
      </w:r>
      <w:r>
        <w:t xml:space="preserve"> </w:t>
      </w:r>
      <w:r>
        <w:t xml:space="preserve">the limit and about half of the batches operated exactly there would be expected to exceed</w:t>
      </w:r>
      <w:r>
        <w:t xml:space="preserve"> </w:t>
      </w:r>
      <w:r>
        <w:t xml:space="preserve">it. The assurance available for routine operation comes from the normal operating ranges</w:t>
      </w:r>
      <w:r>
        <w:t xml:space="preserve"> </w:t>
      </w:r>
      <w:r>
        <w:t xml:space="preserve">and from the capability estimate (§8). It does not come from the boundary itself. Third,</w:t>
      </w:r>
      <w:r>
        <w:t xml:space="preserve"> </w:t>
      </w:r>
      <w:r>
        <w:t xml:space="preserve">the claim rests on the scale-down model, whose warrant is stated above (§3.1), and it assumes</w:t>
      </w:r>
      <w:r>
        <w:t xml:space="preserve"> </w:t>
      </w:r>
      <w:r>
        <w:t xml:space="preserve">that every parameter not carried into the design is held at the value stated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that medium and feed lots meet their release specifications.</w:t>
      </w:r>
    </w:p>
    <w:bookmarkEnd w:id="74"/>
    <w:bookmarkStart w:id="96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Every characterized range is a proven acceptable range for every attribute this step</w:t>
      </w:r>
      <w:r>
        <w:t xml:space="preserve"> </w:t>
      </w:r>
      <w:r>
        <w:t xml:space="preserve">governs, under both of the analyses described below. This section states the acceptance</w:t>
      </w:r>
      <w:r>
        <w:t xml:space="preserve"> </w:t>
      </w:r>
      <w:r>
        <w:t xml:space="preserve">basis, gives the computed ranges, and explains why that outcome does not make the design</w:t>
      </w:r>
      <w:r>
        <w:t xml:space="preserve"> </w:t>
      </w:r>
      <w:r>
        <w:t xml:space="preserve">space redundant.</w:t>
      </w:r>
    </w:p>
    <w:p>
      <w:pPr>
        <w:pStyle w:val="BodyText"/>
      </w:pPr>
      <w:r>
        <w:t xml:space="preserve">The acceptance criteria are the drug substance specifications for the attributes formed at</w:t>
      </w:r>
      <w:r>
        <w:t xml:space="preserve"> </w:t>
      </w:r>
      <w:r>
        <w:t xml:space="preserve">this step, taken directly from the attribute register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so no back-calculation</w:t>
      </w:r>
      <w:r>
        <w:t xml:space="preserve"> </w:t>
      </w:r>
      <w:r>
        <w:t xml:space="preserve">is involved. A viral clearance attribute would require one, because its step-level</w:t>
      </w:r>
      <w:r>
        <w:t xml:space="preserve"> </w:t>
      </w:r>
      <w:r>
        <w:t xml:space="preserve">criterion is the cumulative requirement less the clearance credited to the other steps,</w:t>
      </w:r>
      <w:r>
        <w:t xml:space="preserve"> </w:t>
      </w:r>
      <w:r>
        <w:t xml:space="preserve">but this step claims no viral clearance and that case does not arise here.</w:t>
      </w:r>
    </w:p>
    <w:p>
      <w:pPr>
        <w:pStyle w:val="BodyText"/>
      </w:pPr>
      <w:r>
        <w:t xml:space="preserve">Two analyses were run for each attribute and parameter pair. The first holds every other</w:t>
      </w:r>
      <w:r>
        <w:t xml:space="preserve"> </w:t>
      </w:r>
      <w:r>
        <w:t xml:space="preserve">response-surface factor at its set-point and finds the contiguous range of the parameter</w:t>
      </w:r>
      <w:r>
        <w:t xml:space="preserve"> </w:t>
      </w:r>
      <w:r>
        <w:t xml:space="preserve">over which the predicted level stays within acceptance. The second is a robustness</w:t>
      </w:r>
      <w:r>
        <w:t xml:space="preserve"> </w:t>
      </w:r>
      <w:r>
        <w:t xml:space="preserve">analysis. It varies the other factors within their normal operating ranges by Monte-Carlo</w:t>
      </w:r>
      <w:r>
        <w:t xml:space="preserve"> </w:t>
      </w:r>
      <w:r>
        <w:t xml:space="preserve">sampling of the fitted model, adds the model residual variation, and requires the</w:t>
      </w:r>
      <w:r>
        <w:t xml:space="preserve"> </w:t>
      </w:r>
      <w:r>
        <w:t xml:space="preserve">95 % predictive interval to stay within acceptance across the parameter</w:t>
      </w:r>
      <w:r>
        <w:t xml:space="preserve"> </w:t>
      </w:r>
      <w:r>
        <w:t xml:space="preserve">range. The Monte-Carlo uses 2,000 draws at each of</w:t>
      </w:r>
      <w:r>
        <w:t xml:space="preserve"> </w:t>
      </w:r>
      <w:r>
        <w:t xml:space="preserve">81 grid points, with a fixed seed. The second analysis is the stricter</w:t>
      </w:r>
      <w:r>
        <w:t xml:space="preserve"> </w:t>
      </w:r>
      <w:r>
        <w:t xml:space="preserve">of the two, and it is the reproducible default.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Proven acceptable ranges for each governed quality attribute and each response-surface parameter, with the characterization range for comparison.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00"/>
              <w:gridCol w:w="1834"/>
              <w:gridCol w:w="1250"/>
              <w:gridCol w:w="666"/>
              <w:gridCol w:w="1584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hyperlink w:anchor="tbl-par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gives all 20 combinations of the 5 governed</w:t>
      </w:r>
      <w:r>
        <w:t xml:space="preserve"> </w:t>
      </w:r>
      <w:r>
        <w:t xml:space="preserve">attributes and the 4 response-surface parameters, and in every row the</w:t>
      </w:r>
      <w:r>
        <w:t xml:space="preserve"> </w:t>
      </w:r>
      <w:r>
        <w:t xml:space="preserve">proven acceptable range equals the characterization range. That holds for all</w:t>
      </w:r>
      <w:r>
        <w:t xml:space="preserve"> </w:t>
      </w:r>
      <w:r>
        <w:t xml:space="preserve">20 rows under the at set-point analysis and for all</w:t>
      </w:r>
      <w:r>
        <w:t xml:space="preserve"> </w:t>
      </w:r>
      <w:r>
        <w:t xml:space="preserve">20 rows under the NOR-propagated analysis. No parameter has a</w:t>
      </w:r>
      <w:r>
        <w:t xml:space="preserve"> </w:t>
      </w:r>
      <w:r>
        <w:t xml:space="preserve">narrower proven acceptable range than the range over which it was studied, and no</w:t>
      </w:r>
      <w:r>
        <w:t xml:space="preserve"> </w:t>
      </w:r>
      <w:r>
        <w:t xml:space="preserve">attribute binds a parameter before the edge of the knowledge space is reached.</w:t>
      </w:r>
    </w:p>
    <w:p>
      <w:pPr>
        <w:pStyle w:val="BodyText"/>
      </w:pPr>
      <w:r>
        <w:t xml:space="preserve">Figures</w:t>
      </w:r>
      <w:r>
        <w:t xml:space="preserve"> </w:t>
      </w:r>
      <w:hyperlink w:anchor="fig-parafuc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to</w:t>
      </w:r>
      <w:r>
        <w:t xml:space="preserve"> </w:t>
      </w:r>
      <w:hyperlink w:anchor="fig-paragg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give the representative plot for each governed</w:t>
      </w:r>
      <w:r>
        <w:t xml:space="preserve"> </w:t>
      </w:r>
      <w:r>
        <w:t xml:space="preserve">attribute against its governing parameter, which is the response-surface factor with the</w:t>
      </w:r>
      <w:r>
        <w:t xml:space="preserve"> </w:t>
      </w:r>
      <w:r>
        <w:t xml:space="preserve">largest main effect on that attribute. Each figure has two panels, the left being the at</w:t>
      </w:r>
      <w:r>
        <w:t xml:space="preserve"> </w:t>
      </w:r>
      <w:r>
        <w:t xml:space="preserve">set-point analysis and the right the NOR-propagated analysis, with the acceptable region</w:t>
      </w:r>
      <w:r>
        <w:t xml:space="preserve"> </w:t>
      </w:r>
      <w:r>
        <w:t xml:space="preserve">shaded and the set-point and normal operating range marked.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arafuc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fuc-output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for afucosylation against its governing parameter.</w:t>
            </w:r>
          </w:p>
          <w:bookmarkEnd w:id="7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argal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gal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galactosylation against its governing parameter.</w:t>
            </w:r>
          </w:p>
          <w:bookmarkEnd w:id="8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arh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hm-outpu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Proven acceptable range for high mannose against its governing parameter.</w:t>
            </w:r>
          </w:p>
          <w:bookmarkEnd w:id="8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racid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cid-output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Proven acceptable range for acidic charge variants against its governing parameter.</w:t>
            </w:r>
          </w:p>
          <w:bookmarkEnd w:id="9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par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gg-outpu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Proven acceptable range for aggregate against its governing parameter.</w:t>
            </w:r>
          </w:p>
          <w:bookmarkEnd w:id="95"/>
        </w:tc>
      </w:tr>
    </w:tbl>
    <w:p>
      <w:pPr>
        <w:pStyle w:val="BodyText"/>
      </w:pPr>
      <w:r>
        <w:t xml:space="preserve">The plots show how much margin sits behind that result. For high mannose against culture</w:t>
      </w:r>
      <w:r>
        <w:t xml:space="preserve"> </w:t>
      </w:r>
      <w:r>
        <w:t xml:space="preserve">pH the predicted level stays between 3.99 % and</w:t>
      </w:r>
      <w:r>
        <w:t xml:space="preserve"> </w:t>
      </w:r>
      <w:r>
        <w:t xml:space="preserve">8.60 % across the whole characterized region,</w:t>
      </w:r>
      <w:r>
        <w:t xml:space="preserve"> </w:t>
      </w:r>
      <w:r>
        <w:t xml:space="preserve">against limits of 3 % and</w:t>
      </w:r>
      <w:r>
        <w:t xml:space="preserve"> </w:t>
      </w:r>
      <w:r>
        <w:t xml:space="preserve">10 %. For aggregate against</w:t>
      </w:r>
      <w:r>
        <w:t xml:space="preserve"> </w:t>
      </w:r>
      <w:r>
        <w:t xml:space="preserve">culture pH the predicted level does not exceed</w:t>
      </w:r>
      <w:r>
        <w:t xml:space="preserve"> </w:t>
      </w:r>
      <w:r>
        <w:t xml:space="preserve">2.26 % anywhere, against a limit of</w:t>
      </w:r>
      <w:r>
        <w:t xml:space="preserve"> </w:t>
      </w:r>
      <w:r>
        <w:t xml:space="preserve">5 %. The predictive interval in</w:t>
      </w:r>
      <w:r>
        <w:t xml:space="preserve"> </w:t>
      </w:r>
      <w:r>
        <w:t xml:space="preserve">the right-hand panels widens the band but does not reach a limit in any case.</w:t>
      </w:r>
    </w:p>
    <w:p>
      <w:pPr>
        <w:pStyle w:val="BodyText"/>
      </w:pPr>
      <w:r>
        <w:t xml:space="preserve">The relationship between these ranges and the design space needs to be explicit. A proven</w:t>
      </w:r>
      <w:r>
        <w:t xml:space="preserve"> </w:t>
      </w:r>
      <w:r>
        <w:t xml:space="preserve">acceptable range is a statement about one parameter, with the at set-point form holding</w:t>
      </w:r>
      <w:r>
        <w:t xml:space="preserve"> </w:t>
      </w:r>
      <w:r>
        <w:t xml:space="preserve">the others fixed and the NOR-propagated form letting them move only within their normal</w:t>
      </w:r>
      <w:r>
        <w:t xml:space="preserve"> </w:t>
      </w:r>
      <w:r>
        <w:t xml:space="preserve">operating ranges. The design space is a statement about all 4</w:t>
      </w:r>
      <w:r>
        <w:t xml:space="preserve"> </w:t>
      </w:r>
      <w:r>
        <w:t xml:space="preserve">parameters at once, and it allows each of them to reach its characterization edge. The</w:t>
      </w:r>
      <w:r>
        <w:t xml:space="preserve"> </w:t>
      </w:r>
      <w:r>
        <w:t xml:space="preserve">galactosylation corner identified above (§6) therefore lies outside</w:t>
      </w:r>
      <w:r>
        <w:t xml:space="preserve"> </w:t>
      </w:r>
      <w:r>
        <w:t xml:space="preserve">the reach of either proven acceptable range analysis, because it requires three parameters</w:t>
      </w:r>
      <w:r>
        <w:t xml:space="preserve"> </w:t>
      </w:r>
      <w:r>
        <w:t xml:space="preserve">at an edge simultaneously. Where the whole characterization range is a proven acceptable</w:t>
      </w:r>
      <w:r>
        <w:t xml:space="preserve"> </w:t>
      </w:r>
      <w:r>
        <w:t xml:space="preserve">range, as it is here, the binding constraint on the operating region is the multivariate</w:t>
      </w:r>
      <w:r>
        <w:t xml:space="preserve"> </w:t>
      </w:r>
      <w:r>
        <w:t xml:space="preserve">corner and not any univariate range. Both statements are bounded by the characterization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model, and neither extends beyond them.</w:t>
      </w:r>
    </w:p>
    <w:bookmarkEnd w:id="96"/>
    <w:bookmarkStart w:id="99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step meets its acceptance criteria at commercial scale with margin on every attribute</w:t>
      </w:r>
      <w:r>
        <w:t xml:space="preserve"> </w:t>
      </w:r>
      <w:r>
        <w:t xml:space="preserve">it forms. Capability was estimated by simulating 2,000 batches with each</w:t>
      </w:r>
      <w:r>
        <w:t xml:space="preserve"> </w:t>
      </w:r>
      <w:r>
        <w:t xml:space="preserve">parameter drawn independently within its normal operating range and propagating the fitted</w:t>
      </w:r>
      <w:r>
        <w:t xml:space="preserve"> </w:t>
      </w:r>
      <w:r>
        <w:t xml:space="preserve">response-surface models and their residual variation, and the outcome is given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Simulated commercial-scale capability for the attributes formed at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High Mannose is the tightest of the 5 at</w:t>
      </w:r>
      <w:r>
        <w:t xml:space="preserve"> </w:t>
      </w:r>
      <w:r>
        <w:t xml:space="preserve">1.94, with a simulated mean of</w:t>
      </w:r>
      <w:r>
        <w:t xml:space="preserve"> </w:t>
      </w:r>
      <w:r>
        <w:t xml:space="preserve">5.99 % that sits</w:t>
      </w:r>
      <w:r>
        <w:t xml:space="preserve"> </w:t>
      </w:r>
      <w:r>
        <w:t xml:space="preserve">2.99 percentage points above the lower limit</w:t>
      </w:r>
      <w:r>
        <w:t xml:space="preserve"> </w:t>
      </w:r>
      <w:r>
        <w:t xml:space="preserve">(the binding one) and 4.01 points below the</w:t>
      </w:r>
      <w:r>
        <w:t xml:space="preserve"> </w:t>
      </w:r>
      <w:r>
        <w:t xml:space="preserve">upper limit. The highest simulated batch reached</w:t>
      </w:r>
      <w:r>
        <w:t xml:space="preserve"> </w:t>
      </w:r>
      <w:r>
        <w:t xml:space="preserve">7.98 % and the lowest</w:t>
      </w:r>
      <w:r>
        <w:t xml:space="preserve"> </w:t>
      </w:r>
      <w:r>
        <w:t xml:space="preserve">4.28 %, so no simulated batch came within a</w:t>
      </w:r>
      <w:r>
        <w:t xml:space="preserve"> </w:t>
      </w:r>
      <w:r>
        <w:t xml:space="preserve">percentage point of either limit. Afucosylation and galactosylation follow at</w:t>
      </w:r>
      <w:r>
        <w:t xml:space="preserve"> </w:t>
      </w:r>
      <w:r>
        <w:t xml:space="preserve">2.89 and</w:t>
      </w:r>
      <w:r>
        <w:t xml:space="preserve"> </w:t>
      </w:r>
      <w:r>
        <w:t xml:space="preserve">2.86, and Aggregates (HMW) is the</w:t>
      </w:r>
      <w:r>
        <w:t xml:space="preserve"> </w:t>
      </w:r>
      <w:r>
        <w:t xml:space="preserve">widest at 16.1, which reflects an upper limit of</w:t>
      </w:r>
      <w:r>
        <w:t xml:space="preserve"> </w:t>
      </w:r>
      <w:r>
        <w:t xml:space="preserve">5 % against a simulated mean of only</w:t>
      </w:r>
      <w:r>
        <w:t xml:space="preserve"> </w:t>
      </w:r>
      <w:r>
        <w:t xml:space="preserve">0.75 %. Acidic charge variants reach</w:t>
      </w:r>
      <w:r>
        <w:t xml:space="preserve"> </w:t>
      </w:r>
      <w:r>
        <w:t xml:space="preserve">4.26 against their upper limit, which is the</w:t>
      </w:r>
      <w:r>
        <w:t xml:space="preserve"> </w:t>
      </w:r>
      <w:r>
        <w:t xml:space="preserve">practical-significance point made in §5.2 expressed as a capability.</w:t>
      </w:r>
    </w:p>
    <w:p>
      <w:pPr>
        <w:pStyle w:val="BodyText"/>
      </w:pPr>
      <w:r>
        <w:t xml:space="preserve">Two of these capabilities are not this step’s alone. The aggregate figure is a drug</w:t>
      </w:r>
      <w:r>
        <w:t xml:space="preserve"> </w:t>
      </w:r>
      <w:r>
        <w:t xml:space="preserve">substance figure, and the drug substance mean of</w:t>
      </w:r>
      <w:r>
        <w:t xml:space="preserve"> </w:t>
      </w:r>
      <w:r>
        <w:t xml:space="preserve">0.75 % is well below the harvest centre-point</w:t>
      </w:r>
      <w:r>
        <w:t xml:space="preserve"> </w:t>
      </w:r>
      <w:r>
        <w:t xml:space="preserve">mean of 1.51 % measured here, the difference</w:t>
      </w:r>
      <w:r>
        <w:t xml:space="preserve"> </w:t>
      </w:r>
      <w:r>
        <w:t xml:space="preserve">being the cation exchange polish characterized in PCR-007. This step supplies a low and</w:t>
      </w:r>
      <w:r>
        <w:t xml:space="preserve"> </w:t>
      </w:r>
      <w:r>
        <w:t xml:space="preserve">stable aggregate input, and it does not on its own deliver the drug substance figure. The</w:t>
      </w:r>
      <w:r>
        <w:t xml:space="preserve"> </w:t>
      </w:r>
      <w:r>
        <w:t xml:space="preserve">glycan and charge variant attributes are different, because they are not modified by the</w:t>
      </w:r>
      <w:r>
        <w:t xml:space="preserve"> </w:t>
      </w:r>
      <w:r>
        <w:t xml:space="preserve">platform purification train, so their drug substance capability is set at this step. The</w:t>
      </w:r>
      <w:r>
        <w:t xml:space="preserve"> </w:t>
      </w:r>
      <w:r>
        <w:t xml:space="preserve">agreement between the harvest centre-point means in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 the simulated drug</w:t>
      </w:r>
      <w:r>
        <w:t xml:space="preserve"> </w:t>
      </w:r>
      <w:r>
        <w:t xml:space="preserve">substance means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is the evidence for that.</w:t>
      </w:r>
    </w:p>
    <w:p>
      <w:pPr>
        <w:pStyle w:val="BodyText"/>
      </w:pPr>
      <w:r>
        <w:t xml:space="preserve">Host cell protein and residual DNA are generated here and reach specification only after</w:t>
      </w:r>
      <w:r>
        <w:t xml:space="preserve"> </w:t>
      </w:r>
      <w:r>
        <w:t xml:space="preserve">downstream clearance, and their capability is given in</w:t>
      </w:r>
      <w:r>
        <w:t xml:space="preserve"> </w:t>
      </w:r>
      <w:hyperlink w:anchor="tbl-capclear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for completeness.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capcl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Simulated commercial-scale capability for the impurities generated at this step and cleared downstream.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05"/>
              <w:gridCol w:w="937"/>
              <w:gridCol w:w="833"/>
              <w:gridCol w:w="1458"/>
              <w:gridCol w:w="1354"/>
              <w:gridCol w:w="7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 credit for those two figures belongs to Protein A chromatography, cation exchange and</w:t>
      </w:r>
      <w:r>
        <w:t xml:space="preserve"> </w:t>
      </w:r>
      <w:r>
        <w:t xml:space="preserve">anion exchange, and it is claimed in PCR-005, PCR-007 and PCR-008. What this step</w:t>
      </w:r>
      <w:r>
        <w:t xml:space="preserve"> </w:t>
      </w:r>
      <w:r>
        <w:t xml:space="preserve">contributes is a bounded and predictable input, since culture duration is the parameter</w:t>
      </w:r>
      <w:r>
        <w:t xml:space="preserve"> </w:t>
      </w:r>
      <w:r>
        <w:t xml:space="preserve">that raises the harvest burden of both impurities and it is controlled within the range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tightest capability of the drug substance process as a whole is</w:t>
      </w:r>
      <w:r>
        <w:t xml:space="preserve"> </w:t>
      </w:r>
      <w:r>
        <w:t xml:space="preserve">1.51 and belongs to a viral clearance attribute set at</w:t>
      </w:r>
      <w:r>
        <w:t xml:space="preserve"> </w:t>
      </w:r>
      <w:r>
        <w:t xml:space="preserve">another step, so nothing formed at the production bioreactor is the limiting capability of</w:t>
      </w:r>
      <w:r>
        <w:t xml:space="preserve"> </w:t>
      </w:r>
      <w:r>
        <w:t xml:space="preserve">the process. All capability figures here are bounded in two ways: they assume operation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they inherit the scale-down warrant</w:t>
      </w:r>
      <w:r>
        <w:t xml:space="preserve"> </w:t>
      </w:r>
      <w:r>
        <w:t xml:space="preserve">of §3.1. They are model-based estimates and not a substitute for the process performance</w:t>
      </w:r>
      <w:r>
        <w:t xml:space="preserve"> </w:t>
      </w:r>
      <w:r>
        <w:t xml:space="preserve">qualification campaign of 5 batches.</w:t>
      </w:r>
    </w:p>
    <w:bookmarkEnd w:id="99"/>
    <w:bookmarkStart w:id="100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is classified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evidence for each</w:t>
      </w:r>
      <w:r>
        <w:t xml:space="preserve"> </w:t>
      </w:r>
      <w:r>
        <w:t xml:space="preserve">classification is given below. A parameter whose variability affects a critical quality</w:t>
      </w:r>
      <w:r>
        <w:t xml:space="preserve"> </w:t>
      </w:r>
      <w:r>
        <w:t xml:space="preserve">attribute is a critical process parameter (CPP). Where the risk of leaving the design</w:t>
      </w:r>
      <w:r>
        <w:t xml:space="preserve"> </w:t>
      </w:r>
      <w:r>
        <w:t xml:space="preserve">space is low, because the parameter is easy to control and the region around it is wide,</w:t>
      </w:r>
      <w:r>
        <w:t xml:space="preserve"> </w:t>
      </w:r>
      <w:r>
        <w:t xml:space="preserve">it is classified as well controlled (WC-CPP)</w:t>
      </w:r>
      <w:r>
        <w:t xml:space="preserve"> </w:t>
      </w:r>
      <w:r>
        <w:t xml:space="preserve">(CMC Biotech Working Group 2009)</w:t>
      </w:r>
      <w:r>
        <w:t xml:space="preserve">. A parameter that affects process</w:t>
      </w:r>
      <w:r>
        <w:t xml:space="preserve"> </w:t>
      </w:r>
      <w:r>
        <w:t xml:space="preserve">performance but not product quality is a key process parameter (KPP), and a parameter that</w:t>
      </w:r>
      <w:r>
        <w:t xml:space="preserve"> </w:t>
      </w:r>
      <w:r>
        <w:t xml:space="preserve">affects neither is a general process parameter (GPP).</w:t>
      </w:r>
    </w:p>
    <w:p>
      <w:pPr>
        <w:pStyle w:val="BodyText"/>
      </w:pPr>
      <w:r>
        <w:t xml:space="preserve">Culture pH is a WC-CPP, since it is the dominant parameter for high mannose and for</w:t>
      </w:r>
      <w:r>
        <w:t xml:space="preserve"> </w:t>
      </w:r>
      <w:r>
        <w:t xml:space="preserve">aggregate and is active for every other response. It is classified as well controlled</w:t>
      </w:r>
      <w:r>
        <w:t xml:space="preserve"> </w:t>
      </w:r>
      <w:r>
        <w:t xml:space="preserve">because the commercial vessel holds it within a normal operating range of</w:t>
      </w:r>
      <w:r>
        <w:t xml:space="preserve"> </w:t>
      </w:r>
      <w:r>
        <w:t xml:space="preserve">6.75 to 6.95 (a small part of the</w:t>
      </w:r>
      <w:r>
        <w:t xml:space="preserve"> </w:t>
      </w:r>
      <w:r>
        <w:t xml:space="preserve">characterized range) and because every attribute is in specification across the whole of</w:t>
      </w:r>
      <w:r>
        <w:t xml:space="preserve"> </w:t>
      </w:r>
      <w:r>
        <w:t xml:space="preserve">that range.</w:t>
      </w:r>
    </w:p>
    <w:p>
      <w:pPr>
        <w:pStyle w:val="BodyText"/>
      </w:pPr>
      <w:r>
        <w:t xml:space="preserve">Culture temperature is a WC-CPP, since it is active for high mannose, galactosylation and</w:t>
      </w:r>
      <w:r>
        <w:t xml:space="preserve"> </w:t>
      </w:r>
      <w:r>
        <w:t xml:space="preserve">acidic variants and it participates in the galactosylation corner identified in §6. It is</w:t>
      </w:r>
      <w:r>
        <w:t xml:space="preserve"> </w:t>
      </w:r>
      <w:r>
        <w:t xml:space="preserve">classified as well controlled because jacket control holds it within</w:t>
      </w:r>
      <w:r>
        <w:t xml:space="preserve"> </w:t>
      </w:r>
      <w:r>
        <w:t xml:space="preserve">34.5 to</w:t>
      </w:r>
      <w:r>
        <w:t xml:space="preserve"> </w:t>
      </w:r>
      <w:r>
        <w:t xml:space="preserve">35.5 °C without difficulty.</w:t>
      </w:r>
    </w:p>
    <w:p>
      <w:pPr>
        <w:pStyle w:val="BodyText"/>
      </w:pPr>
      <w:r>
        <w:t xml:space="preserve">Dissolved CO₂ is a WC-CPP, since it carries the largest effect on acidic variants and a</w:t>
      </w:r>
      <w:r>
        <w:t xml:space="preserve"> </w:t>
      </w:r>
      <w:r>
        <w:t xml:space="preserve">large effect on galactosylation. It is the least directly controlled of the quality-linked</w:t>
      </w:r>
      <w:r>
        <w:t xml:space="preserve"> </w:t>
      </w:r>
      <w:r>
        <w:t xml:space="preserve">parameters, because it is governed by the sparge and overlay strategy and by scale, and</w:t>
      </w:r>
      <w:r>
        <w:t xml:space="preserve"> </w:t>
      </w:r>
      <w:r>
        <w:t xml:space="preserve">its characterized range is correspondingly wide at</w:t>
      </w:r>
      <w:r>
        <w:t xml:space="preserve"> </w:t>
      </w:r>
      <w:r>
        <w:t xml:space="preserve">2.0 times its normal operating range. Since the whole of</w:t>
      </w:r>
      <w:r>
        <w:t xml:space="preserve"> </w:t>
      </w:r>
      <w:r>
        <w:t xml:space="preserve">that range is a proven acceptable range for every attribute (§7), it is classified as well</w:t>
      </w:r>
      <w:r>
        <w:t xml:space="preserve"> </w:t>
      </w:r>
      <w:r>
        <w:t xml:space="preserve">controlled on that basis and not on ease of control alone.</w:t>
      </w:r>
    </w:p>
    <w:p>
      <w:pPr>
        <w:pStyle w:val="BodyText"/>
      </w:pPr>
      <w:r>
        <w:t xml:space="preserve">Osmolality is a WC-CPP, since it showed a significant effect on acidic variants and on</w:t>
      </w:r>
      <w:r>
        <w:t xml:space="preserve"> </w:t>
      </w:r>
      <w:r>
        <w:t xml:space="preserve">galactosylation in screening. It was not carried into the response-surface design because</w:t>
      </w:r>
      <w:r>
        <w:t xml:space="preserve"> </w:t>
      </w:r>
      <w:r>
        <w:t xml:space="preserve">those effects were smaller than those of the four retained factors, and its range is</w:t>
      </w:r>
      <w:r>
        <w:t xml:space="preserve"> </w:t>
      </w:r>
      <w:r>
        <w:t xml:space="preserve">supported by the screening result over 360 to</w:t>
      </w:r>
      <w:r>
        <w:t xml:space="preserve"> </w:t>
      </w:r>
      <w:r>
        <w:t xml:space="preserve">440 mOsm. It is classified as quality-linked and well</w:t>
      </w:r>
      <w:r>
        <w:t xml:space="preserve"> </w:t>
      </w:r>
      <w:r>
        <w:t xml:space="preserve">controlled, because the feed strategy holds it within</w:t>
      </w:r>
      <w:r>
        <w:t xml:space="preserve"> </w:t>
      </w:r>
      <w:r>
        <w:t xml:space="preserve">375 to 425 mOsm.</w:t>
      </w:r>
    </w:p>
    <w:p>
      <w:pPr>
        <w:pStyle w:val="BodyText"/>
      </w:pPr>
      <w:r>
        <w:t xml:space="preserve">Culture duration is a WC-CPP, since it carries the largest single effect measured in this</w:t>
      </w:r>
      <w:r>
        <w:t xml:space="preserve"> </w:t>
      </w:r>
      <w:r>
        <w:t xml:space="preserve">study (on galactosylation), is also active for afucosylation and aggregate, and raises the</w:t>
      </w:r>
      <w:r>
        <w:t xml:space="preserve"> </w:t>
      </w:r>
      <w:r>
        <w:t xml:space="preserve">harvest impurity burden. It is classified as well controlled because harvest is a</w:t>
      </w:r>
      <w:r>
        <w:t xml:space="preserve"> </w:t>
      </w:r>
      <w:r>
        <w:t xml:space="preserve">scheduled event and the operating range of 16 to</w:t>
      </w:r>
      <w:r>
        <w:t xml:space="preserve"> </w:t>
      </w:r>
      <w:r>
        <w:t xml:space="preserve">18 days is held by the batch record.</w:t>
      </w:r>
    </w:p>
    <w:p>
      <w:pPr>
        <w:pStyle w:val="BodyText"/>
      </w:pPr>
      <w:r>
        <w:t xml:space="preserve">Dissolved oxygen is a KPP, because prior platform work links it to specific productivity</w:t>
      </w:r>
      <w:r>
        <w:t xml:space="preserve"> </w:t>
      </w:r>
      <w:r>
        <w:t xml:space="preserve">and to titre and not to any attribute formed here, and it was held at set-point in the</w:t>
      </w:r>
      <w:r>
        <w:t xml:space="preserve"> </w:t>
      </w:r>
      <w:r>
        <w:t xml:space="preserve">designs reported above. It is monitored and controlled because process consistency depends</w:t>
      </w:r>
      <w:r>
        <w:t xml:space="preserve"> </w:t>
      </w:r>
      <w:r>
        <w:t xml:space="preserve">on it.</w:t>
      </w:r>
    </w:p>
    <w:p>
      <w:pPr>
        <w:pStyle w:val="BodyText"/>
      </w:pPr>
      <w:r>
        <w:t xml:space="preserve">Initial viable cell concentration is a KPP, because the univariate assessment described in</w:t>
      </w:r>
      <w:r>
        <w:t xml:space="preserve"> </w:t>
      </w:r>
      <w:r>
        <w:t xml:space="preserve">§4.4 found its effect to be on the growth trajectory, on the integral of viable cell</w:t>
      </w:r>
      <w:r>
        <w:t xml:space="preserve"> </w:t>
      </w:r>
      <w:r>
        <w:t xml:space="preserve">concentration and on titre, and not on any quality attribute of this step. The supporting</w:t>
      </w:r>
      <w:r>
        <w:t xml:space="preserve"> </w:t>
      </w:r>
      <w:r>
        <w:t xml:space="preserve">data are held in the study record for PCP-003.</w:t>
      </w:r>
    </w:p>
    <w:p>
      <w:pPr>
        <w:pStyle w:val="BodyText"/>
      </w:pPr>
      <w:r>
        <w:t xml:space="preserve">Nutrient feed volume is a KPP, because it governs nutrient sufficiency through the</w:t>
      </w:r>
      <w:r>
        <w:t xml:space="preserve"> </w:t>
      </w:r>
      <w:r>
        <w:t xml:space="preserve">production phase and hence titre, and its quality-relevant effect is indirect, through</w:t>
      </w:r>
      <w:r>
        <w:t xml:space="preserve"> </w:t>
      </w:r>
      <w:r>
        <w:t xml:space="preserve">osmolality and culture duration, both of which are controlled parameters in their own</w:t>
      </w:r>
      <w:r>
        <w:t xml:space="preserve"> </w:t>
      </w:r>
      <w:r>
        <w:t xml:space="preserve">right. The deviation reported in §13.2 provides direct evidence that a small</w:t>
      </w:r>
      <w:r>
        <w:t xml:space="preserve"> </w:t>
      </w:r>
      <w:r>
        <w:t xml:space="preserve">under-delivery does not move the attributes formed here.</w:t>
      </w:r>
    </w:p>
    <w:p>
      <w:pPr>
        <w:pStyle w:val="BodyText"/>
      </w:pPr>
      <w:r>
        <w:t xml:space="preserve">Basal medium concentration is a GPP, because platform multivariate work found no link to a</w:t>
      </w:r>
      <w:r>
        <w:t xml:space="preserve"> </w:t>
      </w:r>
      <w:r>
        <w:t xml:space="preserve">quality attribute of this step and no appreciable link to process performance within the</w:t>
      </w:r>
      <w:r>
        <w:t xml:space="preserve"> </w:t>
      </w:r>
      <w:r>
        <w:t xml:space="preserve">range carried forward. It is controlled as a released material attribute under SOP-2004.</w:t>
      </w:r>
    </w:p>
    <w:p>
      <w:pPr>
        <w:pStyle w:val="BodyText"/>
      </w:pPr>
      <w:r>
        <w:t xml:space="preserve">5 of the 9 parameters are quality-linked, and</w:t>
      </w:r>
      <w:r>
        <w:t xml:space="preserve"> </w:t>
      </w:r>
      <w:r>
        <w:t xml:space="preserve">all 5 are well controlled. No parameter of this step is classified CPP.</w:t>
      </w:r>
      <w:r>
        <w:t xml:space="preserve"> </w:t>
      </w:r>
      <w:r>
        <w:t xml:space="preserve">The process as a whole carries 1 CPP, and it is not at this step. The</w:t>
      </w:r>
      <w:r>
        <w:t xml:space="preserve"> </w:t>
      </w:r>
      <w:r>
        <w:t xml:space="preserve">classification rules and the decision logic are given in SOP-4001.</w:t>
      </w:r>
    </w:p>
    <w:bookmarkEnd w:id="100"/>
    <w:bookmarkStart w:id="101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production bioreactor contributes four things to the control strategy for A-Mab drug</w:t>
      </w:r>
      <w:r>
        <w:t xml:space="preserve"> </w:t>
      </w:r>
      <w:r>
        <w:t xml:space="preserve">substance.</w:t>
      </w:r>
    </w:p>
    <w:p>
      <w:pPr>
        <w:pStyle w:val="BodyText"/>
      </w:pPr>
      <w:r>
        <w:t xml:space="preserve">The first is parameter control. The 5 quality-linked parameters are held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all of which lie inside the design</w:t>
      </w:r>
      <w:r>
        <w:t xml:space="preserve"> </w:t>
      </w:r>
      <w:r>
        <w:t xml:space="preserve">space of §6 and inside the proven acceptable ranges of §7. Culture pH, temperature and</w:t>
      </w:r>
      <w:r>
        <w:t xml:space="preserve"> </w:t>
      </w:r>
      <w:r>
        <w:t xml:space="preserve">dissolved oxygen are held by closed-loop control, and dissolved CO₂ is held by the sparge</w:t>
      </w:r>
      <w:r>
        <w:t xml:space="preserve"> </w:t>
      </w:r>
      <w:r>
        <w:t xml:space="preserve">and overlay strategy and monitored in process. Osmolality is held by the feed strategy and</w:t>
      </w:r>
      <w:r>
        <w:t xml:space="preserve"> </w:t>
      </w:r>
      <w:r>
        <w:t xml:space="preserve">verified on the harvest sample, and culture duration is held by the batch record.</w:t>
      </w:r>
    </w:p>
    <w:p>
      <w:pPr>
        <w:pStyle w:val="BodyText"/>
      </w:pPr>
      <w:r>
        <w:t xml:space="preserve">The second is in-process monitoring. Viable cell density, viability, metabolites and</w:t>
      </w:r>
      <w:r>
        <w:t xml:space="preserve"> </w:t>
      </w:r>
      <w:r>
        <w:t xml:space="preserve">dissolved CO₂ are trended through the culture, and the harvest sample is tested for the</w:t>
      </w:r>
      <w:r>
        <w:t xml:space="preserve"> </w:t>
      </w:r>
      <w:r>
        <w:t xml:space="preserve">attributes formed at the step. Trending gives early detection of a culture drifting towards</w:t>
      </w:r>
      <w:r>
        <w:t xml:space="preserve"> </w:t>
      </w:r>
      <w:r>
        <w:t xml:space="preserve">an edge of the region, which is the practical use of the mechanistic interpretation in</w:t>
      </w:r>
      <w:r>
        <w:t xml:space="preserve"> </w:t>
      </w:r>
      <w:r>
        <w:t xml:space="preserve">§5.4.</w:t>
      </w:r>
    </w:p>
    <w:p>
      <w:pPr>
        <w:pStyle w:val="BodyText"/>
      </w:pPr>
      <w:r>
        <w:t xml:space="preserve">The third is input control. Basal medium and nutrient feed are released against their own</w:t>
      </w:r>
      <w:r>
        <w:t xml:space="preserve"> </w:t>
      </w:r>
      <w:r>
        <w:t xml:space="preserve">specifications under SOP-2004, and the nutrient feed deviation reported in §13.2 led to a</w:t>
      </w:r>
      <w:r>
        <w:t xml:space="preserve"> </w:t>
      </w:r>
      <w:r>
        <w:t xml:space="preserve">tightened verification of feed pump calibration before each characterization campaign,</w:t>
      </w:r>
      <w:r>
        <w:t xml:space="preserve"> </w:t>
      </w:r>
      <w:r>
        <w:t xml:space="preserve">which is carried forward as a routine control.</w:t>
      </w:r>
    </w:p>
    <w:p>
      <w:pPr>
        <w:pStyle w:val="BodyText"/>
      </w:pPr>
      <w:r>
        <w:t xml:space="preserve">The fourth is lifecycle control. The ranges justified here are the input to the process</w:t>
      </w:r>
      <w:r>
        <w:t xml:space="preserve"> </w:t>
      </w:r>
      <w:r>
        <w:t xml:space="preserve">performance qualification campaign of 5 batches, the attributes formed here</w:t>
      </w:r>
      <w:r>
        <w:t xml:space="preserve"> </w:t>
      </w:r>
      <w:r>
        <w:t xml:space="preserve">are on the continued process verification plan, and movement within the design space is</w:t>
      </w:r>
      <w:r>
        <w:t xml:space="preserve"> </w:t>
      </w:r>
      <w:r>
        <w:t xml:space="preserve">assessed under the quality system before it is made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Two limits on this contribution need stating. The step does not control host cell protein</w:t>
      </w:r>
      <w:r>
        <w:t xml:space="preserve"> </w:t>
      </w:r>
      <w:r>
        <w:t xml:space="preserve">or residual DNA at drug substance level; it sets their input burden, and the three</w:t>
      </w:r>
      <w:r>
        <w:t xml:space="preserve"> </w:t>
      </w:r>
      <w:r>
        <w:t xml:space="preserve">chromatography steps clear them, as reported in PCR-005, PCR-007 and PCR-008. The step</w:t>
      </w:r>
      <w:r>
        <w:t xml:space="preserve"> </w:t>
      </w:r>
      <w:r>
        <w:t xml:space="preserve">also makes no contribution to viral safety, since clearance of enveloped and non-enveloped</w:t>
      </w:r>
      <w:r>
        <w:t xml:space="preserve"> </w:t>
      </w:r>
      <w:r>
        <w:t xml:space="preserve">virus is claimed at low-pH inactivation, anion exchange and virus filtration, and the</w:t>
      </w:r>
      <w:r>
        <w:t xml:space="preserve"> </w:t>
      </w:r>
      <w:r>
        <w:t xml:space="preserve">cumulative claim is consolidated in PCMR-001.</w:t>
      </w:r>
    </w:p>
    <w:bookmarkEnd w:id="101"/>
    <w:bookmarkStart w:id="102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understood well enough to support a design space claim, and the evidence for</w:t>
      </w:r>
      <w:r>
        <w:t xml:space="preserve"> </w:t>
      </w:r>
      <w:r>
        <w:t xml:space="preserve">that statement is the combination of a resolved factor set, a predictive model and a wide</w:t>
      </w:r>
      <w:r>
        <w:t xml:space="preserve"> </w:t>
      </w:r>
      <w:r>
        <w:t xml:space="preserve">capability margin. The screening design separated active from inactive factors over ranges</w:t>
      </w:r>
      <w:r>
        <w:t xml:space="preserve"> </w:t>
      </w:r>
      <w:r>
        <w:t xml:space="preserve">two to three times the routine control ranges. The response-surface design then gave</w:t>
      </w:r>
      <w:r>
        <w:t xml:space="preserve"> </w:t>
      </w:r>
      <w:r>
        <w:t xml:space="preserve">models with adjusted coefficients of determination at or above</w:t>
      </w:r>
      <w:r>
        <w:t xml:space="preserve"> </w:t>
      </w:r>
      <w:r>
        <w:t xml:space="preserve">0.81, no significant lack of fit and predicted coefficients of</w:t>
      </w:r>
      <w:r>
        <w:t xml:space="preserve"> </w:t>
      </w:r>
      <w:r>
        <w:t xml:space="preserve">determination above 0.60. The capability simulation puts the</w:t>
      </w:r>
      <w:r>
        <w:t xml:space="preserve"> </w:t>
      </w:r>
      <w:r>
        <w:t xml:space="preserve">tightest attribute at 1.94.</w:t>
      </w:r>
    </w:p>
    <w:p>
      <w:pPr>
        <w:pStyle w:val="BodyText"/>
      </w:pPr>
      <w:r>
        <w:t xml:space="preserve">The mechanistic picture is coherent, and it is what gives confidence that the model will</w:t>
      </w:r>
      <w:r>
        <w:t xml:space="preserve"> </w:t>
      </w:r>
      <w:r>
        <w:t xml:space="preserve">hold at scale. Three of the 5 attributes are governed by the pH and</w:t>
      </w:r>
      <w:r>
        <w:t xml:space="preserve"> </w:t>
      </w:r>
      <w:r>
        <w:t xml:space="preserve">temperature of the Golgi lumen, and their interactions are the sub-additivity expected</w:t>
      </w:r>
      <w:r>
        <w:t xml:space="preserve"> </w:t>
      </w:r>
      <w:r>
        <w:t xml:space="preserve">when two conditions restrict the same enzymatic capacity, while the two remaining</w:t>
      </w:r>
      <w:r>
        <w:t xml:space="preserve"> </w:t>
      </w:r>
      <w:r>
        <w:t xml:space="preserve">attributes are governed by residence time in an ageing broth. Neither picture requires an</w:t>
      </w:r>
      <w:r>
        <w:t xml:space="preserve"> </w:t>
      </w:r>
      <w:r>
        <w:t xml:space="preserve">effect that the scale-down model cannot reproduce, because both depend on the controlled</w:t>
      </w:r>
      <w:r>
        <w:t xml:space="preserve"> </w:t>
      </w:r>
      <w:r>
        <w:t xml:space="preserve">culture environment and not on vessel geometry.</w:t>
      </w:r>
    </w:p>
    <w:p>
      <w:pPr>
        <w:pStyle w:val="BodyText"/>
      </w:pPr>
      <w:r>
        <w:t xml:space="preserve">Confidence in the scale-down model is nonetheless bounded. The model was qualified against</w:t>
      </w:r>
      <w:r>
        <w:t xml:space="preserve"> </w:t>
      </w:r>
      <w:r>
        <w:t xml:space="preserve">commercial-equivalent performance at target conditions, and its centre points reproduce</w:t>
      </w:r>
      <w:r>
        <w:t xml:space="preserve"> </w:t>
      </w:r>
      <w:r>
        <w:t xml:space="preserve">that condition with coefficients of variation between 4.1 % and</w:t>
      </w:r>
      <w:r>
        <w:t xml:space="preserve"> </w:t>
      </w:r>
      <w:r>
        <w:t xml:space="preserve">9.9 %, but it was not qualified at the edges of the</w:t>
      </w:r>
      <w:r>
        <w:t xml:space="preserve"> </w:t>
      </w:r>
      <w:r>
        <w:t xml:space="preserve">characterized ranges. That is a general limitation of design space claims and is stated as</w:t>
      </w:r>
      <w:r>
        <w:t xml:space="preserve"> </w:t>
      </w:r>
      <w:r>
        <w:t xml:space="preserve">such here. Dissolved CO₂ is the parameter where the limitation bites hardest, because</w:t>
      </w:r>
      <w:r>
        <w:t xml:space="preserve"> </w:t>
      </w:r>
      <w:r>
        <w:t xml:space="preserve">stripping does not scale, and that is why it was carried as an independent factor and not</w:t>
      </w:r>
      <w:r>
        <w:t xml:space="preserve"> </w:t>
      </w:r>
      <w:r>
        <w:t xml:space="preserve">allowed to float.</w:t>
      </w:r>
    </w:p>
    <w:p>
      <w:pPr>
        <w:pStyle w:val="BodyText"/>
      </w:pPr>
      <w:r>
        <w:t xml:space="preserve">Two deviations occurred and both were retained. Their combined effect on the reported</w:t>
      </w:r>
      <w:r>
        <w:t xml:space="preserve"> </w:t>
      </w:r>
      <w:r>
        <w:t xml:space="preserve">analysis is smaller than the centre-point variability of the affected responses, and</w:t>
      </w:r>
      <w:r>
        <w:t xml:space="preserve"> </w:t>
      </w:r>
      <w:r>
        <w:t xml:space="preserve">neither changed a classification, a range or a boundary; §13 gives the argument in full.</w:t>
      </w:r>
      <w:r>
        <w:t xml:space="preserve"> </w:t>
      </w:r>
      <w:r>
        <w:t xml:space="preserve">The more instructive of the two is the nutrient feed under-delivery, because it produced a</w:t>
      </w:r>
      <w:r>
        <w:t xml:space="preserve"> </w:t>
      </w:r>
      <w:r>
        <w:t xml:space="preserve">direct experimental check of a parameter that had been assigned to the knowledge space</w:t>
      </w:r>
      <w:r>
        <w:t xml:space="preserve"> </w:t>
      </w:r>
      <w:r>
        <w:t xml:space="preserve">rather than to the designed experiment.</w:t>
      </w:r>
    </w:p>
    <w:p>
      <w:pPr>
        <w:pStyle w:val="BodyText"/>
      </w:pPr>
      <w:r>
        <w:t xml:space="preserve">Three limitations remain, and each has a forward control. First, the design space is not</w:t>
      </w:r>
      <w:r>
        <w:t xml:space="preserve"> </w:t>
      </w:r>
      <w:r>
        <w:t xml:space="preserve">confirmed at scale at the edges of the ranges, and the process performance qualification</w:t>
      </w:r>
      <w:r>
        <w:t xml:space="preserve"> </w:t>
      </w:r>
      <w:r>
        <w:t xml:space="preserve">campaign will operate at target. Second, the model for acidic charge variants is the</w:t>
      </w:r>
      <w:r>
        <w:t xml:space="preserve"> </w:t>
      </w:r>
      <w:r>
        <w:t xml:space="preserve">weakest of the 5, with a predicted coefficient of determination of</w:t>
      </w:r>
      <w:r>
        <w:t xml:space="preserve"> </w:t>
      </w:r>
      <w:r>
        <w:t xml:space="preserve">0.60, and it is used descriptively and not as a boundary.</w:t>
      </w:r>
      <w:r>
        <w:t xml:space="preserve"> </w:t>
      </w:r>
      <w:r>
        <w:t xml:space="preserve">Third, the study assumes medium and feed lots that meet their release specifications, so</w:t>
      </w:r>
      <w:r>
        <w:t xml:space="preserve"> </w:t>
      </w:r>
      <w:r>
        <w:t xml:space="preserve">lot-to-lot variability is controlled by material specification and not by this design</w:t>
      </w:r>
      <w:r>
        <w:t xml:space="preserve"> </w:t>
      </w:r>
      <w:r>
        <w:t xml:space="preserve">space.</w:t>
      </w:r>
    </w:p>
    <w:p>
      <w:pPr>
        <w:pStyle w:val="BodyText"/>
      </w:pPr>
      <w:r>
        <w:t xml:space="preserve">No parameter of this step required the most stringent control. All</w:t>
      </w:r>
      <w:r>
        <w:t xml:space="preserve"> </w:t>
      </w:r>
      <w:r>
        <w:t xml:space="preserve">5 quality-linked parameters are well controlled, because each is held by</w:t>
      </w:r>
      <w:r>
        <w:t xml:space="preserve"> </w:t>
      </w:r>
      <w:r>
        <w:t xml:space="preserve">an established control loop or by the batch record and because every attribute stays in</w:t>
      </w:r>
      <w:r>
        <w:t xml:space="preserve"> </w:t>
      </w:r>
      <w:r>
        <w:t xml:space="preserve">specification across the whole of each characterized range.</w:t>
      </w:r>
    </w:p>
    <w:bookmarkEnd w:id="102"/>
    <w:bookmarkStart w:id="103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is well characterized and robust over the ranges studied. A</w:t>
      </w:r>
      <w:r>
        <w:t xml:space="preserve"> </w:t>
      </w:r>
      <w:r>
        <w:t xml:space="preserve">response-surface model in culture pH, culture temperature, culture duration and dissolved</w:t>
      </w:r>
      <w:r>
        <w:t xml:space="preserve"> </w:t>
      </w:r>
      <w:r>
        <w:t xml:space="preserve">CO₂ defines an operating region within which afucosylation, galactosylation, high mannose,</w:t>
      </w:r>
      <w:r>
        <w:t xml:space="preserve"> </w:t>
      </w:r>
      <w:r>
        <w:t xml:space="preserve">acidic charge variants and aggregate all remain within their acceptance limits. One corner</w:t>
      </w:r>
      <w:r>
        <w:t xml:space="preserve"> </w:t>
      </w:r>
      <w:r>
        <w:t xml:space="preserve">of the characterized region is excluded, where three factors sit at a lower edge and</w:t>
      </w:r>
      <w:r>
        <w:t xml:space="preserve"> </w:t>
      </w:r>
      <w:r>
        <w:t xml:space="preserve">culture temperature is at or above 35.8 °C, and the maximum</w:t>
      </w:r>
      <w:r>
        <w:t xml:space="preserve"> </w:t>
      </w:r>
      <w:r>
        <w:t xml:space="preserve">predicted exceedance there is 0.27 percentage points of</w:t>
      </w:r>
      <w:r>
        <w:t xml:space="preserve"> </w:t>
      </w:r>
      <w:r>
        <w:t xml:space="preserve">galactosylation.</w:t>
      </w:r>
    </w:p>
    <w:p>
      <w:pPr>
        <w:pStyle w:val="BodyText"/>
      </w:pPr>
      <w:r>
        <w:t xml:space="preserve">Every characterized range is a proven acceptable range for every attribute the step</w:t>
      </w:r>
      <w:r>
        <w:t xml:space="preserve"> </w:t>
      </w:r>
      <w:r>
        <w:t xml:space="preserve">governs, under both the at set-point and the NOR-propagated analyses, so the binding</w:t>
      </w:r>
      <w:r>
        <w:t xml:space="preserve"> </w:t>
      </w:r>
      <w:r>
        <w:t xml:space="preserve">constraint on the operating region is the multivariate corner and not any univariate</w:t>
      </w:r>
      <w:r>
        <w:t xml:space="preserve"> </w:t>
      </w:r>
      <w:r>
        <w:t xml:space="preserve">range.</w:t>
      </w:r>
    </w:p>
    <w:p>
      <w:pPr>
        <w:pStyle w:val="BodyText"/>
      </w:pPr>
      <w:r>
        <w:t xml:space="preserve">9 parameters were classified, of which 5 are WC-CPP,</w:t>
      </w:r>
      <w:r>
        <w:t xml:space="preserve"> </w:t>
      </w:r>
      <w:r>
        <w:t xml:space="preserve">3 are KPP and 1 is a GPP, and no parameter required CPP</w:t>
      </w:r>
      <w:r>
        <w:t xml:space="preserve"> </w:t>
      </w:r>
      <w:r>
        <w:t xml:space="preserve">control. At commercial scale, simulated over 2,000 batches within the</w:t>
      </w:r>
      <w:r>
        <w:t xml:space="preserve"> </w:t>
      </w:r>
      <w:r>
        <w:t xml:space="preserve">normal operating ranges, the tightest capability at this step is</w:t>
      </w:r>
      <w:r>
        <w:t xml:space="preserve"> </w:t>
      </w:r>
      <w:r>
        <w:t xml:space="preserve">High Mannose at 1.94, which is above the tightest</w:t>
      </w:r>
      <w:r>
        <w:t xml:space="preserve"> </w:t>
      </w:r>
      <w:r>
        <w:t xml:space="preserve">capability of the drug substance process as a whole</w:t>
      </w:r>
      <w:r>
        <w:t xml:space="preserve"> </w:t>
      </w:r>
      <w:r>
        <w:t xml:space="preserve">(1.51).</w:t>
      </w:r>
    </w:p>
    <w:p>
      <w:pPr>
        <w:pStyle w:val="BodyText"/>
      </w:pPr>
      <w:r>
        <w:t xml:space="preserve">2 deviations were recorded, investigated and retained, and neither altered</w:t>
      </w:r>
      <w:r>
        <w:t xml:space="preserve"> </w:t>
      </w:r>
      <w:r>
        <w:t xml:space="preserve">a parameter classification, a range or the boundary of the operating region.</w:t>
      </w:r>
    </w:p>
    <w:p>
      <w:pPr>
        <w:pStyle w:val="BodyText"/>
      </w:pPr>
      <w:r>
        <w:t xml:space="preserve">The step claims no viral clearance and does not by itself deliver the drug substance</w:t>
      </w:r>
      <w:r>
        <w:t xml:space="preserve"> </w:t>
      </w:r>
      <w:r>
        <w:t xml:space="preserve">specification for host cell protein, residual DNA or aggregate, since those attributes</w:t>
      </w:r>
      <w:r>
        <w:t xml:space="preserve"> </w:t>
      </w:r>
      <w:r>
        <w:t xml:space="preserve">depend on downstream clearance and polishing. The results of this report roll up into the</w:t>
      </w:r>
      <w:r>
        <w:t xml:space="preserve"> </w:t>
      </w:r>
      <w:r>
        <w:t xml:space="preserve">master report (PCMR-001).</w:t>
      </w:r>
    </w:p>
    <w:bookmarkEnd w:id="103"/>
    <w:bookmarkStart w:id="107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PCP-003 were recorded during execution, and each was</w:t>
      </w:r>
      <w:r>
        <w:t xml:space="preserve"> </w:t>
      </w:r>
      <w:r>
        <w:t xml:space="preserve">investigated, assigned a root cause, impact-assessed and dispositioned. Both were retained,</w:t>
      </w:r>
      <w:r>
        <w:t xml:space="preserve"> </w:t>
      </w:r>
      <w:r>
        <w:t xml:space="preserve">which means that the affected run and its data were kept in the reported analysis, and the</w:t>
      </w:r>
      <w:r>
        <w:t xml:space="preserve"> </w:t>
      </w:r>
      <w:r>
        <w:t xml:space="preserve">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25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Deviation register for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Both deviations were detected by a routine control and not by inspection of the results,</w:t>
      </w:r>
      <w:r>
        <w:t xml:space="preserve"> </w:t>
      </w:r>
      <w:r>
        <w:t xml:space="preserve">the first by comparing the in-process probe against an offline reference and the second by</w:t>
      </w:r>
      <w:r>
        <w:t xml:space="preserve"> </w:t>
      </w:r>
      <w:r>
        <w:t xml:space="preserve">mass reconciliation after execution. Neither was found because a result looked wrong,</w:t>
      </w:r>
      <w:r>
        <w:t xml:space="preserve"> </w:t>
      </w:r>
      <w:r>
        <w:t xml:space="preserve">which is what allows the impact to be assessed independently of the analysis.</w:t>
      </w:r>
    </w:p>
    <w:bookmarkStart w:id="105" w:name="Xffb0a2dda7c42bceb7dfaa1bf9fced394cf7f22"/>
    <w:p>
      <w:pPr>
        <w:pStyle w:val="Heading2"/>
      </w:pPr>
      <w:r>
        <w:t xml:space="preserve">13.1 DEV-003-01: dissolved CO₂ probe drift during a screening run</w:t>
      </w:r>
    </w:p>
    <w:p>
      <w:pPr>
        <w:pStyle w:val="FirstParagraph"/>
      </w:pPr>
      <w:r>
        <w:t xml:space="preserve">The dissolved CO₂ probe on the scale-down bioreactor read</w:t>
      </w:r>
      <w:r>
        <w:t xml:space="preserve"> </w:t>
      </w:r>
      <w:r>
        <w:t xml:space="preserve">6.5 mmHg below the offline reference during</w:t>
      </w:r>
      <w:r>
        <w:t xml:space="preserve"> </w:t>
      </w:r>
      <w:r>
        <w:t xml:space="preserve">screening run 4. The offset is 11 % of the width of the</w:t>
      </w:r>
      <w:r>
        <w:t xml:space="preserve"> </w:t>
      </w:r>
      <w:r>
        <w:t xml:space="preserve">normal operating range for the parameter, so the actual culture pCO₂ during that run was</w:t>
      </w:r>
      <w:r>
        <w:t xml:space="preserve"> </w:t>
      </w:r>
      <w:r>
        <w:t xml:space="preserve">above its intended set-point by that amount.</w:t>
      </w:r>
    </w:p>
    <w:p>
      <w:pPr>
        <w:pStyle w:val="BodyText"/>
      </w:pPr>
      <w:r>
        <w:t xml:space="preserve">The investigation traced the offset to drift of the probe between scheduled calibrations.</w:t>
      </w:r>
      <w:r>
        <w:t xml:space="preserve"> </w:t>
      </w:r>
      <w:r>
        <w:t xml:space="preserve">The equipment record for EQ-BRX-205 shows the unit in calibration at execution, with the</w:t>
      </w:r>
      <w:r>
        <w:t xml:space="preserve"> </w:t>
      </w:r>
      <w:r>
        <w:t xml:space="preserve">next calibration due 2026-06-14, and the offline reference method (the</w:t>
      </w:r>
      <w:r>
        <w:t xml:space="preserve"> </w:t>
      </w:r>
      <w:r>
        <w:t xml:space="preserve">qualified comparator) was used to establish the magnitude of the offset. No other run in</w:t>
      </w:r>
      <w:r>
        <w:t xml:space="preserve"> </w:t>
      </w:r>
      <w:r>
        <w:t xml:space="preserve">either design used the affected probe outside its calibration interval.</w:t>
      </w:r>
    </w:p>
    <w:p>
      <w:pPr>
        <w:pStyle w:val="BodyText"/>
      </w:pPr>
      <w:r>
        <w:t xml:space="preserve">The impact assessment is bounded by the size of the offset in coded units. Since the</w:t>
      </w:r>
      <w:r>
        <w:t xml:space="preserve"> </w:t>
      </w:r>
      <w:r>
        <w:t xml:space="preserve">characterized range for dissolved CO₂ spans 40 to</w:t>
      </w:r>
      <w:r>
        <w:t xml:space="preserve"> </w:t>
      </w:r>
      <w:r>
        <w:t xml:space="preserve">160 mmHg, the offset is 0.108 in</w:t>
      </w:r>
      <w:r>
        <w:t xml:space="preserve"> </w:t>
      </w:r>
      <w:r>
        <w:t xml:space="preserve">coded units, and multiplying that displacement by the screening coefficient for dissolved</w:t>
      </w:r>
      <w:r>
        <w:t xml:space="preserve"> </w:t>
      </w:r>
      <w:r>
        <w:t xml:space="preserve">CO₂ gives the largest bias the offset can introduce. For acidic charge variants, the</w:t>
      </w:r>
      <w:r>
        <w:t xml:space="preserve"> </w:t>
      </w:r>
      <w:r>
        <w:t xml:space="preserve">response most sensitive to dissolved CO₂, the bias is</w:t>
      </w:r>
      <w:r>
        <w:t xml:space="preserve"> </w:t>
      </w:r>
      <w:r>
        <w:t xml:space="preserve">0.44 percentage points against a screening centre-point</w:t>
      </w:r>
      <w:r>
        <w:t xml:space="preserve"> </w:t>
      </w:r>
      <w:r>
        <w:t xml:space="preserve">standard deviation of 1.09 points, and</w:t>
      </w:r>
      <w:r>
        <w:t xml:space="preserve"> </w:t>
      </w:r>
      <w:r>
        <w:t xml:space="preserve">for galactosylation it is 0.31 points against a centre-point</w:t>
      </w:r>
      <w:r>
        <w:t xml:space="preserve"> </w:t>
      </w:r>
      <w:r>
        <w:t xml:space="preserve">standard deviation of 0.48 points. In</w:t>
      </w:r>
      <w:r>
        <w:t xml:space="preserve"> </w:t>
      </w:r>
      <w:r>
        <w:t xml:space="preserve">both cases the bias is below the reproducibility of the measurement it would perturb.</w:t>
      </w:r>
    </w:p>
    <w:p>
      <w:pPr>
        <w:pStyle w:val="BodyText"/>
      </w:pPr>
      <w:r>
        <w:t xml:space="preserve">The run was retained on that basis, since the actual pCO₂ during the run remained inside</w:t>
      </w:r>
      <w:r>
        <w:t xml:space="preserve"> </w:t>
      </w:r>
      <w:r>
        <w:t xml:space="preserve">the characterized range and the run therefore remains a valid point of the knowledge space.</w:t>
      </w:r>
      <w:r>
        <w:t xml:space="preserve"> </w:t>
      </w:r>
      <w:r>
        <w:t xml:space="preserve">The screening design is used in this report to rank active factors and not to predict</w:t>
      </w:r>
      <w:r>
        <w:t xml:space="preserve"> </w:t>
      </w:r>
      <w:r>
        <w:t xml:space="preserve">(§5.2), and a displacement of this size does not change the rank order of any effect.</w:t>
      </w:r>
      <w:r>
        <w:t xml:space="preserve"> </w:t>
      </w:r>
      <w:r>
        <w:t xml:space="preserve">Dissolved CO₂ was carried into the response-surface design, which was executed after the</w:t>
      </w:r>
      <w:r>
        <w:t xml:space="preserve"> </w:t>
      </w:r>
      <w:r>
        <w:t xml:space="preserve">probe was recalibrated, and the design space rests on that model.</w:t>
      </w:r>
    </w:p>
    <w:bookmarkEnd w:id="105"/>
    <w:bookmarkStart w:id="106" w:name="Xd8b94a95f5b0d7fd490936012730da60862a9d8"/>
    <w:p>
      <w:pPr>
        <w:pStyle w:val="Heading2"/>
      </w:pPr>
      <w:r>
        <w:t xml:space="preserve">13.2 DEV-003-02: nutrient feed under-delivery on a centre-point batch</w:t>
      </w:r>
    </w:p>
    <w:p>
      <w:pPr>
        <w:pStyle w:val="FirstParagraph"/>
      </w:pPr>
      <w:r>
        <w:t xml:space="preserve">The nutrient feed was under-delivered by</w:t>
      </w:r>
      <w:r>
        <w:t xml:space="preserve"> </w:t>
      </w:r>
      <w:r>
        <w:t xml:space="preserve">4.2 % of the scheduled volume on one screening</w:t>
      </w:r>
      <w:r>
        <w:t xml:space="preserve"> </w:t>
      </w:r>
      <w:r>
        <w:t xml:space="preserve">centre-point batch, so that the delivered volume was</w:t>
      </w:r>
      <w:r>
        <w:t xml:space="preserve"> </w:t>
      </w:r>
      <w:r>
        <w:t xml:space="preserve">11.50 % of working volume against a set-point of</w:t>
      </w:r>
      <w:r>
        <w:t xml:space="preserve"> </w:t>
      </w:r>
      <w:r>
        <w:t xml:space="preserve">12 %. This is a deviation from the planned centre-point</w:t>
      </w:r>
      <w:r>
        <w:t xml:space="preserve"> </w:t>
      </w:r>
      <w:r>
        <w:t xml:space="preserve">condition, and it affects a replicate that contributes to the pure-error estimate.</w:t>
      </w:r>
    </w:p>
    <w:p>
      <w:pPr>
        <w:pStyle w:val="BodyText"/>
      </w:pPr>
      <w:r>
        <w:t xml:space="preserve">The investigation traced the shortfall to a calibration offset on the feed pump. The feed</w:t>
      </w:r>
      <w:r>
        <w:t xml:space="preserve"> </w:t>
      </w:r>
      <w:r>
        <w:t xml:space="preserve">material was LOT-FED-3120, within its expiry of 2026-09-30, and the</w:t>
      </w:r>
      <w:r>
        <w:t xml:space="preserve"> </w:t>
      </w:r>
      <w:r>
        <w:t xml:space="preserve">lot itself met its release specification, and the pump was recalibrated before the</w:t>
      </w:r>
      <w:r>
        <w:t xml:space="preserve"> </w:t>
      </w:r>
      <w:r>
        <w:t xml:space="preserve">response-surface design was executed.</w:t>
      </w:r>
    </w:p>
    <w:p>
      <w:pPr>
        <w:pStyle w:val="BodyText"/>
      </w:pPr>
      <w:r>
        <w:t xml:space="preserve">The delivered volume remains inside the normal operating range of</w:t>
      </w:r>
      <w:r>
        <w:t xml:space="preserve"> </w:t>
      </w:r>
      <w:r>
        <w:t xml:space="preserve">10 to 14 % of</w:t>
      </w:r>
      <w:r>
        <w:t xml:space="preserve"> </w:t>
      </w:r>
      <w:r>
        <w:t xml:space="preserve">working volume, so the batch remains a valid centre point and it was retained. The glycan</w:t>
      </w:r>
      <w:r>
        <w:t xml:space="preserve"> </w:t>
      </w:r>
      <w:r>
        <w:t xml:space="preserve">attributes of the affected batch were re-assayed in 3 replicates</w:t>
      </w:r>
      <w:r>
        <w:t xml:space="preserve"> </w:t>
      </w:r>
      <w:r>
        <w:t xml:space="preserve">under AMV-3010, whose intermediate precision is</w:t>
      </w:r>
      <w:r>
        <w:t xml:space="preserve"> </w:t>
      </w:r>
      <w:r>
        <w:t xml:space="preserve">2.5 % RSD, and the relative half-width of the</w:t>
      </w:r>
      <w:r>
        <w:t xml:space="preserve"> </w:t>
      </w:r>
      <w:r>
        <w:t xml:space="preserve">95 % confidence interval on that verification set is</w:t>
      </w:r>
      <w:r>
        <w:t xml:space="preserve"> </w:t>
      </w:r>
      <w:r>
        <w:t xml:space="preserve">6.21 %. The verification mean agreed with the other centre</w:t>
      </w:r>
      <w:r>
        <w:t xml:space="preserve"> </w:t>
      </w:r>
      <w:r>
        <w:t xml:space="preserve">points within that interval.</w:t>
      </w:r>
    </w:p>
    <w:p>
      <w:pPr>
        <w:pStyle w:val="BodyText"/>
      </w:pPr>
      <w:r>
        <w:t xml:space="preserve">Two consequences follow. The screening centre-point variability is not inflated relative</w:t>
      </w:r>
      <w:r>
        <w:t xml:space="preserve"> </w:t>
      </w:r>
      <w:r>
        <w:t xml:space="preserve">to the response-surface centre points, as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show and as §5.1</w:t>
      </w:r>
      <w:r>
        <w:t xml:space="preserve"> </w:t>
      </w:r>
      <w:r>
        <w:t xml:space="preserve">discusses, and the design space rests on the response-surface model, whose</w:t>
      </w:r>
      <w:r>
        <w:t xml:space="preserve"> </w:t>
      </w:r>
      <w:r>
        <w:t xml:space="preserve">4 centre points were executed after the pump was recalibrated and were</w:t>
      </w:r>
      <w:r>
        <w:t xml:space="preserve"> </w:t>
      </w:r>
      <w:r>
        <w:t xml:space="preserve">unaffected. The deviation also produced useful evidence, because nutrient feed volume had</w:t>
      </w:r>
      <w:r>
        <w:t xml:space="preserve"> </w:t>
      </w:r>
      <w:r>
        <w:t xml:space="preserve">been assigned to the knowledge space rather than to the designed experiment, and a</w:t>
      </w:r>
      <w:r>
        <w:t xml:space="preserve"> </w:t>
      </w:r>
      <w:r>
        <w:t xml:space="preserve">shortfall of this size produced no detectable movement in the attributes formed at the</w:t>
      </w:r>
      <w:r>
        <w:t xml:space="preserve"> </w:t>
      </w:r>
      <w:r>
        <w:t xml:space="preserve">step. That supports its classification as a key process parameter (§9).</w:t>
      </w:r>
    </w:p>
    <w:bookmarkEnd w:id="106"/>
    <w:bookmarkEnd w:id="107"/>
    <w:bookmarkStart w:id="126" w:name="appendices-ad"/>
    <w:p>
      <w:pPr>
        <w:pStyle w:val="Heading1"/>
      </w:pPr>
      <w:r>
        <w:t xml:space="preserve">14. Appendices A–D</w:t>
      </w:r>
    </w:p>
    <w:p>
      <w:pPr>
        <w:pStyle w:val="FirstParagraph"/>
      </w:pPr>
      <w:r>
        <w:t xml:space="preserve">The appendices carry the executed design matrices, the complete effect and coefficient</w:t>
      </w:r>
      <w:r>
        <w:t xml:space="preserve"> </w:t>
      </w:r>
      <w:r>
        <w:t xml:space="preserve">tables, and the analytical method summary. Each table is emitted from the same data set as</w:t>
      </w:r>
      <w:r>
        <w:t xml:space="preserve"> </w:t>
      </w:r>
      <w:r>
        <w:t xml:space="preserve">the corresponding section of the report.</w:t>
      </w:r>
    </w:p>
    <w:bookmarkStart w:id="109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26</w:t>
        </w:r>
      </w:hyperlink>
      <w:r>
        <w:t xml:space="preserve">. Factor</w:t>
      </w:r>
      <w:r>
        <w:t xml:space="preserve"> </w:t>
      </w:r>
      <w:r>
        <w:t xml:space="preserve">letters are as defined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 coded settings of −1 and +1 denote the edges of</w:t>
      </w:r>
      <w:r>
        <w:t xml:space="preserve"> </w:t>
      </w:r>
      <w:r>
        <w:t xml:space="preserve">the characterized range and 0 denotes the set-point.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Executed screening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650"/>
              <w:gridCol w:w="295"/>
              <w:gridCol w:w="295"/>
              <w:gridCol w:w="295"/>
              <w:gridCol w:w="295"/>
              <w:gridCol w:w="295"/>
              <w:gridCol w:w="1004"/>
              <w:gridCol w:w="1122"/>
              <w:gridCol w:w="945"/>
              <w:gridCol w:w="1122"/>
              <w:gridCol w:w="11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</w:tbl>
          <w:bookmarkEnd w:id="108"/>
          <w:p/>
        </w:tc>
      </w:tr>
    </w:tbl>
    <w:bookmarkEnd w:id="109"/>
    <w:bookmarkStart w:id="111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response-surface design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Executed response-surface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"/>
              <w:gridCol w:w="675"/>
              <w:gridCol w:w="306"/>
              <w:gridCol w:w="306"/>
              <w:gridCol w:w="306"/>
              <w:gridCol w:w="306"/>
              <w:gridCol w:w="1043"/>
              <w:gridCol w:w="1166"/>
              <w:gridCol w:w="982"/>
              <w:gridCol w:w="1166"/>
              <w:gridCol w:w="12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10"/>
          <w:p/>
        </w:tc>
      </w:tr>
    </w:tbl>
    <w:bookmarkEnd w:id="111"/>
    <w:bookmarkStart w:id="123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complete screening effect tables for all five responses are given in</w:t>
      </w:r>
      <w:r>
        <w:t xml:space="preserve"> </w:t>
      </w:r>
      <w:hyperlink w:anchor="tbl-appc1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5">
        <w:r>
          <w:rPr>
            <w:rStyle w:val="Hyperlink"/>
          </w:rPr>
          <w:t xml:space="preserve">Table 32</w:t>
        </w:r>
      </w:hyperlink>
      <w:r>
        <w:t xml:space="preserve">. Each lists every main effect and every two-factor interaction in order of</w:t>
      </w:r>
      <w:r>
        <w:t xml:space="preserve"> </w:t>
      </w:r>
      <w:r>
        <w:t xml:space="preserve">absolute effect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Complete screening effects,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227"/>
              <w:gridCol w:w="1450"/>
              <w:gridCol w:w="1115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Complete screening effects,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131"/>
              <w:gridCol w:w="1131"/>
              <w:gridCol w:w="1470"/>
              <w:gridCol w:w="1131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Complete screening effects,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284"/>
              <w:gridCol w:w="1177"/>
              <w:gridCol w:w="1391"/>
              <w:gridCol w:w="1177"/>
              <w:gridCol w:w="1177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31: Complete screening effects,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115"/>
              <w:gridCol w:w="1450"/>
              <w:gridCol w:w="1227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Complete screening effects,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227"/>
              <w:gridCol w:w="1227"/>
              <w:gridCol w:w="1450"/>
              <w:gridCol w:w="1003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 response-surface coefficient tables for the three responses not shown in §5.3 are</w:t>
      </w:r>
      <w:r>
        <w:t xml:space="preserve"> </w:t>
      </w:r>
      <w:r>
        <w:t xml:space="preserve">given in</w:t>
      </w:r>
      <w:r>
        <w:t xml:space="preserve"> </w:t>
      </w:r>
      <w:hyperlink w:anchor="tbl-appc6">
        <w:r>
          <w:rPr>
            <w:rStyle w:val="Hyperlink"/>
          </w:rPr>
          <w:t xml:space="preserve">Table 33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8">
        <w:r>
          <w:rPr>
            <w:rStyle w:val="Hyperlink"/>
          </w:rPr>
          <w:t xml:space="preserve">Table 35</w:t>
        </w:r>
      </w:hyperlink>
      <w:r>
        <w:t xml:space="preserve">, and the corresponding analysis of variance partitions</w:t>
      </w:r>
      <w:r>
        <w:t xml:space="preserve"> </w:t>
      </w:r>
      <w:r>
        <w:t xml:space="preserve">in</w:t>
      </w:r>
      <w:r>
        <w:t xml:space="preserve"> </w:t>
      </w:r>
      <w:hyperlink w:anchor="tbl-appc9">
        <w:r>
          <w:rPr>
            <w:rStyle w:val="Hyperlink"/>
          </w:rPr>
          <w:t xml:space="preserve">Table 36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11">
        <w:r>
          <w:rPr>
            <w:rStyle w:val="Hyperlink"/>
          </w:rPr>
          <w:t xml:space="preserve">Table 38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appc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Response-surface coefficients,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5.742e-15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3.446e-07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appc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Response-surface coefficients,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4.427e-15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5.399e-08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appc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Response-surface coefficients,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7.263e-10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appc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Analysis of variance with lack-of-fit partition,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5.048e-07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appc1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 Analysis of variance with lack-of-fit partition,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1.268e-05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appc1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Analysis of variance with lack-of-fit partition,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1.577e-07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2"/>
          <w:p/>
        </w:tc>
      </w:tr>
    </w:tbl>
    <w:bookmarkEnd w:id="123"/>
    <w:bookmarkStart w:id="125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methods used for the responses of this study are summarized in</w:t>
      </w:r>
      <w:r>
        <w:t xml:space="preserve"> </w:t>
      </w:r>
      <w:hyperlink w:anchor="tbl-appd">
        <w:r>
          <w:rPr>
            <w:rStyle w:val="Hyperlink"/>
          </w:rPr>
          <w:t xml:space="preserve">Table 39</w:t>
        </w:r>
      </w:hyperlink>
      <w:r>
        <w:t xml:space="preserve">.</w:t>
      </w:r>
      <w:r>
        <w:t xml:space="preserve"> </w:t>
      </w:r>
      <w:r>
        <w:t xml:space="preserve">Method performance is reported in full in the referenced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Analytical methods, the attributes they report and their validation references.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7"/>
              <w:gridCol w:w="1747"/>
              <w:gridCol w:w="2512"/>
              <w:gridCol w:w="710"/>
              <w:gridCol w:w="1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Procedure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 (%RSD)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galactosylation,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</w:tbl>
          <w:bookmarkEnd w:id="124"/>
          <w:p/>
        </w:tc>
      </w:tr>
    </w:tbl>
    <w:bookmarkEnd w:id="125"/>
    <w:bookmarkEnd w:id="126"/>
    <w:bookmarkStart w:id="135" w:name="references"/>
    <w:p>
      <w:pPr>
        <w:pStyle w:val="Heading1"/>
      </w:pPr>
      <w:r>
        <w:t xml:space="preserve">References</w:t>
      </w:r>
    </w:p>
    <w:bookmarkStart w:id="134" w:name="refs"/>
    <w:bookmarkStart w:id="127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27"/>
    <w:bookmarkStart w:id="128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28"/>
    <w:bookmarkStart w:id="129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29"/>
    <w:bookmarkStart w:id="130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30"/>
    <w:bookmarkStart w:id="131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31"/>
    <w:bookmarkStart w:id="132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32"/>
    <w:bookmarkStart w:id="13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88" Target="media/rId88.png" /><Relationship Type="http://schemas.openxmlformats.org/officeDocument/2006/relationships/image" Id="rId76" Target="media/rId76.png" /><Relationship Type="http://schemas.openxmlformats.org/officeDocument/2006/relationships/image" Id="rId92" Target="media/rId92.png" /><Relationship Type="http://schemas.openxmlformats.org/officeDocument/2006/relationships/image" Id="rId80" Target="media/rId80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2026-07-27T07:20:57Z</dcterms:created>
  <dcterms:modified xsi:type="dcterms:W3CDTF">2026-07-27T07:20:57Z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