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2-AB, 2-aminobenzamide; ALCOA+, attributable, legible, contemporaneous, original,</w:t>
      </w:r>
      <w:r>
        <w:t xml:space="preserve"> </w:t>
      </w:r>
      <w:r>
        <w:t xml:space="preserve">accurate, complete, consistent, enduring and available; AMV, analytical method validation;</w:t>
      </w:r>
      <w:r>
        <w:t xml:space="preserve"> </w:t>
      </w:r>
      <w:r>
        <w:t xml:space="preserve">CHO, Chinese hamster ovary; CO2, carbon dioxide; CPP, critical process parameter; Cpk,</w:t>
      </w:r>
      <w:r>
        <w:t xml:space="preserve"> </w:t>
      </w:r>
      <w:r>
        <w:t xml:space="preserve">one-sided process capability index; CQA, critical quality attribute; DoE, design of</w:t>
      </w:r>
      <w:r>
        <w:t xml:space="preserve"> </w:t>
      </w:r>
      <w:r>
        <w:t xml:space="preserve">experiments; ELISA, enzyme-linked immunosorbent assay; GPP, general process parameter;</w:t>
      </w:r>
      <w:r>
        <w:t xml:space="preserve"> </w:t>
      </w:r>
      <w:r>
        <w:t xml:space="preserve">HCP, host cell protein; HILIC, hydrophilic interaction liquid chromatography; HMW, high</w:t>
      </w:r>
      <w:r>
        <w:t xml:space="preserve"> </w:t>
      </w:r>
      <w:r>
        <w:t xml:space="preserve">molecular weight; HPLC, high performance liquid chromatography; icIEF, imaged capillary</w:t>
      </w:r>
      <w:r>
        <w:t xml:space="preserve"> </w:t>
      </w:r>
      <w:r>
        <w:t xml:space="preserve">isoelectric focusing; KPP, key process parameter; MSAT, Manufacturing Science and</w:t>
      </w:r>
      <w:r>
        <w:t xml:space="preserve"> </w:t>
      </w:r>
      <w:r>
        <w:t xml:space="preserve">Technology; NOR, normal operating range; PAR, proven acceptable range; pCO2, partial</w:t>
      </w:r>
      <w:r>
        <w:t xml:space="preserve"> </w:t>
      </w:r>
      <w:r>
        <w:t xml:space="preserve">pressure of dissolved carbon dioxide; PRESS, prediction error sum of squares; qPCR,</w:t>
      </w:r>
      <w:r>
        <w:t xml:space="preserve"> </w:t>
      </w:r>
      <w:r>
        <w:t xml:space="preserve">quantitative polymerase chain reaction; RSM, response surface methodology; SDM, scale-down</w:t>
      </w:r>
      <w:r>
        <w:t xml:space="preserve"> </w:t>
      </w:r>
      <w:r>
        <w:t xml:space="preserve">model; SEC, size exclusion chromatography; SOP, standard operating procedure; UPLC, ultra</w:t>
      </w:r>
      <w:r>
        <w:t xml:space="preserve"> </w:t>
      </w:r>
      <w:r>
        <w:t xml:space="preserve">performance liquid chromatography; WC-CPP, well-controlled critical process parameter.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The production bioreactor is the step at which the glycan, charge variant and aggregate</w:t>
      </w:r>
      <w:r>
        <w:t xml:space="preserve"> </w:t>
      </w:r>
      <w:r>
        <w:t xml:space="preserve">quality attributes of A-Mab are formed. The purification train that follows carries those</w:t>
      </w:r>
      <w:r>
        <w:t xml:space="preserve"> </w:t>
      </w:r>
      <w:r>
        <w:t xml:space="preserve">attributes through with little modification, and no step downstream of the harvest reforms</w:t>
      </w:r>
      <w:r>
        <w:t xml:space="preserve"> </w:t>
      </w:r>
      <w:r>
        <w:t xml:space="preserve">a glycan or reverses a deamidation. For this reason the bioreactor is the step at which the</w:t>
      </w:r>
      <w:r>
        <w:t xml:space="preserve"> </w:t>
      </w:r>
      <w:r>
        <w:t xml:space="preserve">design space for product quality is defined, and this plan sets out the studies that will</w:t>
      </w:r>
      <w:r>
        <w:t xml:space="preserve"> </w:t>
      </w:r>
      <w:r>
        <w:t xml:space="preserve">define it.</w:t>
      </w:r>
    </w:p>
    <w:p>
      <w:pPr>
        <w:pStyle w:val="BodyText"/>
      </w:pPr>
      <w:r>
        <w:t xml:space="preserve">The commercial process operates at 15,000 L of culture, a scale at which</w:t>
      </w:r>
      <w:r>
        <w:t xml:space="preserve"> </w:t>
      </w:r>
      <w:r>
        <w:t xml:space="preserve">the number of runs a designed experiment needs cannot be supplied, and the studies will</w:t>
      </w:r>
      <w:r>
        <w:t xml:space="preserve"> </w:t>
      </w:r>
      <w:r>
        <w:t xml:space="preserve">therefore be executed on a qualified scale-down model of that vessel. The plan states what</w:t>
      </w:r>
      <w:r>
        <w:t xml:space="preserve"> </w:t>
      </w:r>
      <w:r>
        <w:t xml:space="preserve">will be studied, how the study will be run and how the results will be judged. The findings</w:t>
      </w:r>
      <w:r>
        <w:t xml:space="preserve"> </w:t>
      </w:r>
      <w:r>
        <w:t xml:space="preserve">themselves belong to the paired report (PCR-003) and are not anticipated here.</w:t>
      </w:r>
    </w:p>
    <w:p>
      <w:pPr>
        <w:pStyle w:val="BodyText"/>
      </w:pPr>
      <w:r>
        <w:t xml:space="preserve">The scope covers the 9 process parameters of the production bioreactor</w:t>
      </w:r>
      <w:r>
        <w:t xml:space="preserve"> </w:t>
      </w:r>
      <w:r>
        <w:t xml:space="preserve">listed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the 5 quality attributes that will be measured as</w:t>
      </w:r>
      <w:r>
        <w:t xml:space="preserve"> </w:t>
      </w:r>
      <w:r>
        <w:t xml:space="preserve">responses, and the analytical methods that support them. The work is a Stage 1 process</w:t>
      </w:r>
      <w:r>
        <w:t xml:space="preserve"> </w:t>
      </w:r>
      <w:r>
        <w:t xml:space="preserve">design activity in the sense of the lifecycle approach</w:t>
      </w:r>
      <w:r>
        <w:t xml:space="preserve"> </w:t>
      </w:r>
      <w:r>
        <w:t xml:space="preserve">(U.S. Food and Drug Administration 2011)</w:t>
      </w:r>
      <w:r>
        <w:t xml:space="preserve">, carried out under the</w:t>
      </w:r>
      <w:r>
        <w:t xml:space="preserve"> </w:t>
      </w:r>
      <w:r>
        <w:t xml:space="preserve">enhanced development approach</w:t>
      </w:r>
      <w:r>
        <w:t xml:space="preserve"> </w:t>
      </w:r>
      <w:r>
        <w:t xml:space="preserve">(International Council for Harmonisation 2009, 2012)</w:t>
      </w:r>
      <w:r>
        <w:t xml:space="preserve">, and criticality is treated throughout as a</w:t>
      </w:r>
      <w:r>
        <w:t xml:space="preserve"> </w:t>
      </w:r>
      <w:r>
        <w:t xml:space="preserve">continuum and not as a binary split into critical and non-critical attributes</w:t>
      </w:r>
      <w:r>
        <w:t xml:space="preserve"> </w:t>
      </w:r>
      <w:r>
        <w:t xml:space="preserve">(International Council for Harmonisation 2023)</w:t>
      </w:r>
      <w:r>
        <w:t xml:space="preserve">.</w:t>
      </w:r>
      <w:r>
        <w:t xml:space="preserve"> </w:t>
      </w:r>
      <w:r>
        <w:t xml:space="preserve">Seed expansion up to the N-1 stage lies outside the scope, since prior platform knowledge</w:t>
      </w:r>
      <w:r>
        <w:t xml:space="preserve"> </w:t>
      </w:r>
      <w:r>
        <w:t xml:space="preserve">covers it and PTP-001 records that position. The same scope excludes harvest and</w:t>
      </w:r>
      <w:r>
        <w:t xml:space="preserve"> </w:t>
      </w:r>
      <w:r>
        <w:t xml:space="preserve">clarification, which PCP-004 covers.</w:t>
      </w:r>
    </w:p>
    <w:p>
      <w:pPr>
        <w:pStyle w:val="BodyText"/>
      </w:pPr>
      <w:r>
        <w:t xml:space="preserve">Two limits apply to this plan. The first limit is that it does not qualify the scale-down</w:t>
      </w:r>
      <w:r>
        <w:t xml:space="preserve"> </w:t>
      </w:r>
      <w:r>
        <w:t xml:space="preserve">model, which is qualified under SOP-1001 and reported separately. The second limit is that</w:t>
      </w:r>
      <w:r>
        <w:t xml:space="preserve"> </w:t>
      </w:r>
      <w:r>
        <w:t xml:space="preserve">it does not by itself define the commercial control strategy, because host cell protein and</w:t>
      </w:r>
      <w:r>
        <w:t xml:space="preserve"> </w:t>
      </w:r>
      <w:r>
        <w:t xml:space="preserve">residual DNA are formed in the bioreactor and cleared by later steps (PCP-005, PCP-007 and</w:t>
      </w:r>
      <w:r>
        <w:t xml:space="preserve"> </w:t>
      </w:r>
      <w:r>
        <w:t xml:space="preserve">PCP-008).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objectives, and each one produces a defined output in PCR-003 and a</w:t>
      </w:r>
      <w:r>
        <w:t xml:space="preserve"> </w:t>
      </w:r>
      <w:r>
        <w:t xml:space="preserve">defined input to the control strategy the transfer will hand to the receiving site.</w:t>
      </w:r>
    </w:p>
    <w:p>
      <w:pPr>
        <w:numPr>
          <w:ilvl w:val="0"/>
          <w:numId w:val="1001"/>
        </w:numPr>
      </w:pPr>
      <w:r>
        <w:t xml:space="preserve">Quantify the effect of each parameter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on the 5 quality</w:t>
      </w:r>
      <w:r>
        <w:t xml:space="preserve"> </w:t>
      </w:r>
      <w:r>
        <w:t xml:space="preserve">attributes the production bioreactor forms, over ranges deliberately wider than the ranges</w:t>
      </w:r>
      <w:r>
        <w:t xml:space="preserve"> </w:t>
      </w:r>
      <w:r>
        <w:t xml:space="preserve">the commercial process will use, and estimate the interactions between the parameters</w:t>
      </w:r>
      <w:r>
        <w:t xml:space="preserve"> </w:t>
      </w:r>
      <w:r>
        <w:t xml:space="preserve">studied together.</w:t>
      </w:r>
    </w:p>
    <w:p>
      <w:pPr>
        <w:numPr>
          <w:ilvl w:val="0"/>
          <w:numId w:val="1001"/>
        </w:numPr>
      </w:pPr>
      <w:r>
        <w:t xml:space="preserve">Define a multivariate operating region in the well-controlled culture parameters over</w:t>
      </w:r>
      <w:r>
        <w:t xml:space="preserve"> </w:t>
      </w:r>
      <w:r>
        <w:t xml:space="preserve">which every attribute the step governs is predicted to meet acceptance, and locate the</w:t>
      </w:r>
      <w:r>
        <w:t xml:space="preserve"> </w:t>
      </w:r>
      <w:r>
        <w:t xml:space="preserve">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inside that region.</w:t>
      </w:r>
    </w:p>
    <w:p>
      <w:pPr>
        <w:numPr>
          <w:ilvl w:val="0"/>
          <w:numId w:val="1001"/>
        </w:numPr>
      </w:pPr>
      <w:r>
        <w:t xml:space="preserve">Establish a proven acceptable range for each parameter that governs an attribute,</w:t>
      </w:r>
      <w:r>
        <w:t xml:space="preserve"> </w:t>
      </w:r>
      <w:r>
        <w:t xml:space="preserve">under both of the analyses described in §8, and state for each range the acceptance</w:t>
      </w:r>
      <w:r>
        <w:t xml:space="preserve"> </w:t>
      </w:r>
      <w:r>
        <w:t xml:space="preserve">criterion it was judged against.</w:t>
      </w:r>
    </w:p>
    <w:p>
      <w:pPr>
        <w:numPr>
          <w:ilvl w:val="0"/>
          <w:numId w:val="1001"/>
        </w:numPr>
      </w:pPr>
      <w:r>
        <w:t xml:space="preserve">Classify every parameter as a critical, well-controlled critical, key or general</w:t>
      </w:r>
      <w:r>
        <w:t xml:space="preserve"> </w:t>
      </w:r>
      <w:r>
        <w:t xml:space="preserve">process parameter, using the decision logic of SOP-4001 together with the control</w:t>
      </w:r>
      <w:r>
        <w:t xml:space="preserve"> </w:t>
      </w:r>
      <w:r>
        <w:t xml:space="preserve">capability the receiving site can demonstrate for that parameter.</w:t>
      </w:r>
    </w:p>
    <w:p>
      <w:pPr>
        <w:numPr>
          <w:ilvl w:val="0"/>
          <w:numId w:val="1001"/>
        </w:numPr>
      </w:pPr>
      <w:r>
        <w:t xml:space="preserve">Provide the ranges, the in-process controls and the monitoring commitments that the</w:t>
      </w:r>
      <w:r>
        <w:t xml:space="preserve"> </w:t>
      </w:r>
      <w:r>
        <w:t xml:space="preserve">Stage 2 control strategy will carry for this step, with the evidence for each of them.</w:t>
      </w:r>
    </w:p>
    <w:p>
      <w:pPr>
        <w:pStyle w:val="FirstParagraph"/>
      </w:pPr>
      <w:r>
        <w:t xml:space="preserve">Objectives (i) to (iii) rest on the designed experiments in §6, while objective (iv) rests</w:t>
      </w:r>
      <w:r>
        <w:t xml:space="preserve"> </w:t>
      </w:r>
      <w:r>
        <w:t xml:space="preserve">on those experiments together with the equipment capability the transfer confirms.</w:t>
      </w:r>
      <w:r>
        <w:t xml:space="preserve"> </w:t>
      </w:r>
      <w:r>
        <w:t xml:space="preserve">Objective (v) is the output the transfer needs, and the first four objectives support it.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The documents that govern this plan and the documents that consume the results are listed</w:t>
      </w:r>
      <w:r>
        <w:t xml:space="preserve"> </w:t>
      </w:r>
      <w:r>
        <w:t xml:space="preserve">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Documents related to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controlled documents the study will follow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, where each modelled</w:t>
      </w:r>
      <w:r>
        <w:t xml:space="preserve"> </w:t>
      </w:r>
      <w:r>
        <w:t xml:space="preserve">attribute has one validated analytical method and the validation report for that method</w:t>
      </w:r>
      <w:r>
        <w:t xml:space="preserve"> </w:t>
      </w:r>
      <w:r>
        <w:t xml:space="preserve">holds the performance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A-Mab is produced by fed-batch culture of a recombinant Chinese hamster ovary cell line in</w:t>
      </w:r>
      <w:r>
        <w:t xml:space="preserve"> </w:t>
      </w:r>
      <w:r>
        <w:t xml:space="preserve">a stirred tank bioreactor. The culture is inoculated from the N-1 seed bioreactor, held at</w:t>
      </w:r>
      <w:r>
        <w:t xml:space="preserve"> </w:t>
      </w:r>
      <w:r>
        <w:t xml:space="preserve">set-points for pH, temperature, dissolved oxygen and dissolved CO2, and fed on a fixed</w:t>
      </w:r>
      <w:r>
        <w:t xml:space="preserve"> </w:t>
      </w:r>
      <w:r>
        <w:t xml:space="preserve">schedule until the harvest criterion is met. Operation follows SOP-2003, and medium and</w:t>
      </w:r>
      <w:r>
        <w:t xml:space="preserve"> </w:t>
      </w:r>
      <w:r>
        <w:t xml:space="preserve">feed are prepared under SOP-2004.</w:t>
      </w:r>
    </w:p>
    <w:p>
      <w:pPr>
        <w:pStyle w:val="BodyText"/>
      </w:pPr>
      <w:r>
        <w:t xml:space="preserve">The platform is not new: three earlier humanized IgG1 products (X-Mab, Y-Mab and Z-Mab)</w:t>
      </w:r>
      <w:r>
        <w:t xml:space="preserve"> </w:t>
      </w:r>
      <w:r>
        <w:t xml:space="preserve">have been manufactured on it at commercial scale, and A-Mab itself has been produced</w:t>
      </w:r>
      <w:r>
        <w:t xml:space="preserve"> </w:t>
      </w:r>
      <w:r>
        <w:t xml:space="preserve">through clinical supply and through engineering runs. That experience establishes the</w:t>
      </w:r>
      <w:r>
        <w:t xml:space="preserve"> </w:t>
      </w:r>
      <w:r>
        <w:t xml:space="preserve">mechanisms the study expects to see. The study therefore confirms and bounds behaviour at</w:t>
      </w:r>
      <w:r>
        <w:t xml:space="preserve"> </w:t>
      </w:r>
      <w:r>
        <w:t xml:space="preserve">this step instead of discovering it. Several A-Mab acceptance limits were themselves set</w:t>
      </w:r>
      <w:r>
        <w:t xml:space="preserve"> </w:t>
      </w:r>
      <w:r>
        <w:t xml:space="preserve">from X-Mab clinical experience on the same platform. Therefore, the platform is the source</w:t>
      </w:r>
      <w:r>
        <w:t xml:space="preserve"> </w:t>
      </w:r>
      <w:r>
        <w:t xml:space="preserve">of some of the acceptance criteria as well as of the mechanistic expectations.</w:t>
      </w:r>
    </w:p>
    <w:p>
      <w:pPr>
        <w:pStyle w:val="BodyText"/>
      </w:pPr>
      <w:r>
        <w:t xml:space="preserve">Three of the five modelled attributes are enzymatic in origin: galactosylation, high</w:t>
      </w:r>
      <w:r>
        <w:t xml:space="preserve"> </w:t>
      </w:r>
      <w:r>
        <w:t xml:space="preserve">mannose and afucosylation. Galactosylation follows the activity of the Golgi</w:t>
      </w:r>
      <w:r>
        <w:t xml:space="preserve"> </w:t>
      </w:r>
      <w:r>
        <w:t xml:space="preserve">galactosyltransferase and the supply of the nucleotide sugar donor, both of which decline</w:t>
      </w:r>
      <w:r>
        <w:t xml:space="preserve"> </w:t>
      </w:r>
      <w:r>
        <w:t xml:space="preserve">as a culture ages and the intracellular environment deteriorates. High mannose reports how</w:t>
      </w:r>
      <w:r>
        <w:t xml:space="preserve"> </w:t>
      </w:r>
      <w:r>
        <w:t xml:space="preserve">completely mannosidase trimming has run, which makes the attribute sensitive to lumenal pH</w:t>
      </w:r>
      <w:r>
        <w:t xml:space="preserve"> </w:t>
      </w:r>
      <w:r>
        <w:t xml:space="preserve">and to temperature (the two parameters that set enzyme activity most directly).</w:t>
      </w:r>
      <w:r>
        <w:t xml:space="preserve"> </w:t>
      </w:r>
      <w:r>
        <w:t xml:space="preserve">Afucosylation is the one attribute of the three set by a competition, between core</w:t>
      </w:r>
      <w:r>
        <w:t xml:space="preserve"> </w:t>
      </w:r>
      <w:r>
        <w:t xml:space="preserve">fucosyltransferase activity and the rate at which antibody leaves the Golgi, and the level</w:t>
      </w:r>
      <w:r>
        <w:t xml:space="preserve"> </w:t>
      </w:r>
      <w:r>
        <w:t xml:space="preserve">is expected to fall as a culture is extended.</w:t>
      </w:r>
    </w:p>
    <w:p>
      <w:pPr>
        <w:pStyle w:val="BodyText"/>
      </w:pPr>
      <w:r>
        <w:t xml:space="preserve">The other two modelled attributes are chemical in origin, and both are expected to depend</w:t>
      </w:r>
      <w:r>
        <w:t xml:space="preserve"> </w:t>
      </w:r>
      <w:r>
        <w:t xml:space="preserve">on culture duration more than on any other parameter. Acidic charge variants arise mainly</w:t>
      </w:r>
      <w:r>
        <w:t xml:space="preserve"> </w:t>
      </w:r>
      <w:r>
        <w:t xml:space="preserve">from deamidation of product already secreted into the broth, which proceeds faster at</w:t>
      </w:r>
      <w:r>
        <w:t xml:space="preserve"> </w:t>
      </w:r>
      <w:r>
        <w:t xml:space="preserve">higher pH and accumulates over a longer culture. Aggregate has the same character, because</w:t>
      </w:r>
      <w:r>
        <w:t xml:space="preserve"> </w:t>
      </w:r>
      <w:r>
        <w:t xml:space="preserve">antibody that sits longer in an ageing broth aggregates more. Both expectations point at</w:t>
      </w:r>
      <w:r>
        <w:t xml:space="preserve"> </w:t>
      </w:r>
      <w:r>
        <w:t xml:space="preserve">culture duration as the parameter to bound. They are tested and quantified by the designed</w:t>
      </w:r>
      <w:r>
        <w:t xml:space="preserve"> </w:t>
      </w:r>
      <w:r>
        <w:t xml:space="preserve">experiments in §6.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quality attributes the production bioreactor sets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</w:t>
      </w:r>
      <w:r>
        <w:t xml:space="preserve"> </w:t>
      </w:r>
      <w:r>
        <w:t xml:space="preserve">acceptance criterion and the criticality of each, and the score in the last column is the</w:t>
      </w:r>
      <w:r>
        <w:t xml:space="preserve"> </w:t>
      </w:r>
      <w:r>
        <w:t xml:space="preserve">Tool #1 impact and uncertainty score of the A-Mab risk methodology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set by the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highest score of the seven attributes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belongs to high mannose, at</w:t>
      </w:r>
      <w:r>
        <w:t xml:space="preserve"> </w:t>
      </w:r>
      <w:r>
        <w:t xml:space="preserve">80, which is also the only one of very</w:t>
      </w:r>
      <w:r>
        <w:t xml:space="preserve"> </w:t>
      </w:r>
      <w:r>
        <w:t xml:space="preserve">high criticality. Afucosylation and galactosylation follow, both of high criticality and</w:t>
      </w:r>
      <w:r>
        <w:t xml:space="preserve"> </w:t>
      </w:r>
      <w:r>
        <w:t xml:space="preserve">both linked to the effector function that carries the mechanism of action. The same</w:t>
      </w:r>
      <w:r>
        <w:t xml:space="preserve"> </w:t>
      </w:r>
      <w:r>
        <w:t xml:space="preserve">criticality applies to aggregates, which are the one attribute in the group that a later</w:t>
      </w:r>
      <w:r>
        <w:t xml:space="preserve"> </w:t>
      </w:r>
      <w:r>
        <w:t xml:space="preserve">step reduces (PCP-007). Acidic charge variants sit at the other end of the register at</w:t>
      </w:r>
      <w:r>
        <w:t xml:space="preserve"> </w:t>
      </w:r>
      <w:r>
        <w:t xml:space="preserve">4, of very low</w:t>
      </w:r>
      <w:r>
        <w:t xml:space="preserve"> </w:t>
      </w:r>
      <w:r>
        <w:t xml:space="preserve">criticality, and enter the study because the culture conditions move them and not because</w:t>
      </w:r>
      <w:r>
        <w:t xml:space="preserve"> </w:t>
      </w:r>
      <w:r>
        <w:t xml:space="preserve">the drug substance is at risk from them.</w:t>
      </w:r>
    </w:p>
    <w:p>
      <w:pPr>
        <w:pStyle w:val="BodyText"/>
      </w:pPr>
      <w:r>
        <w:t xml:space="preserve">Host cell protein and residual DNA are the two attributes formed in the bioreactor that are</w:t>
      </w:r>
      <w:r>
        <w:t xml:space="preserve"> </w:t>
      </w:r>
      <w:r>
        <w:t xml:space="preserve">not modelled here, although both will be measured in the harvest of every run, because the</w:t>
      </w:r>
      <w:r>
        <w:t xml:space="preserve"> </w:t>
      </w:r>
      <w:r>
        <w:t xml:space="preserve">load the purification train receives is an input to the clearance claims in PCR-005,</w:t>
      </w:r>
      <w:r>
        <w:t xml:space="preserve"> </w:t>
      </w:r>
      <w:r>
        <w:t xml:space="preserve">PCR-007 and PCR-008. The 5 attributes that are modelled are the ones this</w:t>
      </w:r>
      <w:r>
        <w:t xml:space="preserve"> </w:t>
      </w:r>
      <w:r>
        <w:t xml:space="preserve">step both forms and hands on unchanged.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set the scope of this study, scoring each parameter on the potential impact of</w:t>
      </w:r>
      <w:r>
        <w:t xml:space="preserve"> </w:t>
      </w:r>
      <w:r>
        <w:t xml:space="preserve">variation on a quality attribute and on the potential for interaction with other</w:t>
      </w:r>
      <w:r>
        <w:t xml:space="preserve"> </w:t>
      </w:r>
      <w:r>
        <w:t xml:space="preserve">parameters, and deriving a study type from the combined score</w:t>
      </w:r>
      <w:r>
        <w:t xml:space="preserve"> </w:t>
      </w:r>
      <w:r>
        <w:t xml:space="preserve">(CMC Biotech Working Group 2009)</w:t>
      </w:r>
      <w:r>
        <w:t xml:space="preserve">. Of the</w:t>
      </w:r>
      <w:r>
        <w:t xml:space="preserve"> </w:t>
      </w:r>
      <w:r>
        <w:t xml:space="preserve">9 parameters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5 were assigned to the</w:t>
      </w:r>
      <w:r>
        <w:t xml:space="preserve"> </w:t>
      </w:r>
      <w:r>
        <w:t xml:space="preserve">multivariate design and 4 to univariate assessment, and this plan executes</w:t>
      </w:r>
      <w:r>
        <w:t xml:space="preserve"> </w:t>
      </w:r>
      <w:r>
        <w:t xml:space="preserve">that assignment without revisiting it.</w:t>
      </w:r>
    </w:p>
    <w:p>
      <w:pPr>
        <w:pStyle w:val="BodyText"/>
      </w:pPr>
      <w:r>
        <w:t xml:space="preserve">The 5 multivariate parameters are culture pH, culture temperature, dissolved</w:t>
      </w:r>
      <w:r>
        <w:t xml:space="preserve"> </w:t>
      </w:r>
      <w:r>
        <w:t xml:space="preserve">CO2, osmolality and culture duration, and each of them has a mechanism on at least one</w:t>
      </w:r>
      <w:r>
        <w:t xml:space="preserve"> </w:t>
      </w:r>
      <w:r>
        <w:t xml:space="preserve">glycan or charge attribute together with a plausible interaction with at least one of the</w:t>
      </w:r>
      <w:r>
        <w:t xml:space="preserve"> </w:t>
      </w:r>
      <w:r>
        <w:t xml:space="preserve">others. Culture pH and culture temperature act on the same enzymatic steps, which is the</w:t>
      </w:r>
      <w:r>
        <w:t xml:space="preserve"> </w:t>
      </w:r>
      <w:r>
        <w:t xml:space="preserve">clearest interaction the design has to resolve. Culture duration multiplies the exposure of</w:t>
      </w:r>
      <w:r>
        <w:t xml:space="preserve"> </w:t>
      </w:r>
      <w:r>
        <w:t xml:space="preserve">every attribute to the conditions the other four parameters set, which makes an interaction</w:t>
      </w:r>
      <w:r>
        <w:t xml:space="preserve"> </w:t>
      </w:r>
      <w:r>
        <w:t xml:space="preserve">with duration plausible in each case.</w:t>
      </w:r>
    </w:p>
    <w:p>
      <w:pPr>
        <w:pStyle w:val="BodyText"/>
      </w:pPr>
      <w:r>
        <w:t xml:space="preserve">The 4 univariate parameters are dissolved oxygen, initial viable cell</w:t>
      </w:r>
      <w:r>
        <w:t xml:space="preserve"> </w:t>
      </w:r>
      <w:r>
        <w:t xml:space="preserve">concentration, basal medium concentration and nutrient feed-1 volume, and these four act on</w:t>
      </w:r>
      <w:r>
        <w:t xml:space="preserve"> </w:t>
      </w:r>
      <w:r>
        <w:t xml:space="preserve">cell growth and on process performance, where platform experience across the three earlier</w:t>
      </w:r>
      <w:r>
        <w:t xml:space="preserve"> </w:t>
      </w:r>
      <w:r>
        <w:t xml:space="preserve">products shows the effect on product quality to be small over the ranges proposed. A</w:t>
      </w:r>
      <w:r>
        <w:t xml:space="preserve"> </w:t>
      </w:r>
      <w:r>
        <w:t xml:space="preserve">univariate assessment is adequate where a parameter has no plausible interaction with the</w:t>
      </w:r>
      <w:r>
        <w:t xml:space="preserve"> </w:t>
      </w:r>
      <w:r>
        <w:t xml:space="preserve">multivariate set, and RA-001 found none for these four.</w:t>
      </w:r>
    </w:p>
    <w:p>
      <w:pPr>
        <w:pStyle w:val="BodyText"/>
      </w:pPr>
      <w:r>
        <w:t xml:space="preserve">The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the knowledge space and not the operating ranges, and each</w:t>
      </w:r>
      <w:r>
        <w:t xml:space="preserve"> </w:t>
      </w:r>
      <w:r>
        <w:t xml:space="preserve">characterization range spans 1.6 to 2.5 times the</w:t>
      </w:r>
      <w:r>
        <w:t xml:space="preserve"> </w:t>
      </w:r>
      <w:r>
        <w:t xml:space="preserve">width of the matching normal operating range. The extra width serves two purposes. It puts</w:t>
      </w:r>
      <w:r>
        <w:t xml:space="preserve"> </w:t>
      </w:r>
      <w:r>
        <w:t xml:space="preserve">real distance between the design edges and the range the plant will use, which is what</w:t>
      </w:r>
      <w:r>
        <w:t xml:space="preserve"> </w:t>
      </w:r>
      <w:r>
        <w:t xml:space="preserve">turns an effect estimate into a bound on operation. In addition, it leaves room for later</w:t>
      </w:r>
      <w:r>
        <w:t xml:space="preserve"> </w:t>
      </w:r>
      <w:r>
        <w:t xml:space="preserve">process improvement inside a region that has already been studied</w:t>
      </w:r>
      <w:r>
        <w:t xml:space="preserve"> </w:t>
      </w:r>
      <w:r>
        <w:t xml:space="preserve">(CMC Biotech Working Group 2009)</w:t>
      </w:r>
      <w:r>
        <w:t xml:space="preserve">. No range</w:t>
      </w:r>
      <w:r>
        <w:t xml:space="preserve"> </w:t>
      </w:r>
      <w:r>
        <w:t xml:space="preserve">extends into conditions under which the culture is known to fail.</w:t>
      </w:r>
    </w:p>
    <w:bookmarkEnd w:id="20"/>
    <w:bookmarkEnd w:id="21"/>
    <w:bookmarkStart w:id="27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Execution will use bench-scale stirred tank bioreactors of equivalent design to the</w:t>
      </w:r>
      <w:r>
        <w:t xml:space="preserve"> </w:t>
      </w:r>
      <w:r>
        <w:t xml:space="preserve">commercial vessels, operated under SOP-2003. The scale-independent parameters (pH,</w:t>
      </w:r>
      <w:r>
        <w:t xml:space="preserve"> </w:t>
      </w:r>
      <w:r>
        <w:t xml:space="preserve">temperature, dissolved oxygen, initial viable cell concentration and culture duration) will</w:t>
      </w:r>
      <w:r>
        <w:t xml:space="preserve"> </w:t>
      </w:r>
      <w:r>
        <w:t xml:space="preserve">be set to the values the commercial process uses. The scale-dependent parameters</w:t>
      </w:r>
      <w:r>
        <w:t xml:space="preserve"> </w:t>
      </w:r>
      <w:r>
        <w:t xml:space="preserve">(agitation, gas flow rates, headspace pressure and working volume) will be set so that the</w:t>
      </w:r>
      <w:r>
        <w:t xml:space="preserve"> </w:t>
      </w:r>
      <w:r>
        <w:t xml:space="preserve">bench system matches commercial process performance. Matching the commercial hardware</w:t>
      </w:r>
      <w:r>
        <w:t xml:space="preserve"> </w:t>
      </w:r>
      <w:r>
        <w:t xml:space="preserve">settings themselves would not reproduce the culture environment, because the relation</w:t>
      </w:r>
      <w:r>
        <w:t xml:space="preserve"> </w:t>
      </w:r>
      <w:r>
        <w:t xml:space="preserve">between an agitation rate and the shear a cell experiences changes with vessel geometry.</w:t>
      </w:r>
    </w:p>
    <w:p>
      <w:pPr>
        <w:pStyle w:val="BodyText"/>
      </w:pPr>
      <w:r>
        <w:t xml:space="preserve">Qualification of the model is a precondition of execution and is not part of this study,</w:t>
      </w:r>
      <w:r>
        <w:t xml:space="preserve"> </w:t>
      </w:r>
      <w:r>
        <w:t xml:space="preserve">and SOP-1001 governs it. Execution will not begin until the qualification report is</w:t>
      </w:r>
      <w:r>
        <w:t xml:space="preserve"> </w:t>
      </w:r>
      <w:r>
        <w:t xml:space="preserve">approved. The qualification compares the bench system with 15,000 L data</w:t>
      </w:r>
      <w:r>
        <w:t xml:space="preserve"> </w:t>
      </w:r>
      <w:r>
        <w:t xml:space="preserve">on the inputs and the outputs that matter here: the growth and viability profile, the titer</w:t>
      </w:r>
      <w:r>
        <w:t xml:space="preserve"> </w:t>
      </w:r>
      <w:r>
        <w:t xml:space="preserve">and the 5 modelled attributes. A model that fails qualification for one</w:t>
      </w:r>
      <w:r>
        <w:t xml:space="preserve"> </w:t>
      </w:r>
      <w:r>
        <w:t xml:space="preserve">attribute may still be used for the others, provided PCR-003 states the restriction.</w:t>
      </w:r>
    </w:p>
    <w:p>
      <w:pPr>
        <w:pStyle w:val="BodyText"/>
      </w:pPr>
      <w:r>
        <w:t xml:space="preserve">The centre-point replicates in each design serve two purposes. They provide the pure error</w:t>
      </w:r>
      <w:r>
        <w:t xml:space="preserve"> </w:t>
      </w:r>
      <w:r>
        <w:t xml:space="preserve">term against which lack of fit is tested (§5.5), and they show whether the bench system</w:t>
      </w:r>
      <w:r>
        <w:t xml:space="preserve"> </w:t>
      </w:r>
      <w:r>
        <w:t xml:space="preserve">reproduces the set-point condition across the campaign. 3 centre points are</w:t>
      </w:r>
      <w:r>
        <w:t xml:space="preserve"> </w:t>
      </w:r>
      <w:r>
        <w:t xml:space="preserve">included in the screening design and 4 in the response-surface design.</w:t>
      </w:r>
    </w:p>
    <w:bookmarkEnd w:id="22"/>
    <w:bookmarkStart w:id="23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The cell line is the recombinant Chinese hamster ovary line used for A-Mab clinical supply,</w:t>
      </w:r>
      <w:r>
        <w:t xml:space="preserve"> </w:t>
      </w:r>
      <w:r>
        <w:t xml:space="preserve">drawn from the qualified working cell bank, and basal medium and feed are chemically</w:t>
      </w:r>
      <w:r>
        <w:t xml:space="preserve"> </w:t>
      </w:r>
      <w:r>
        <w:t xml:space="preserve">defined and prepared under SOP-2004. One lot of medium and one lot of feed will serve the</w:t>
      </w:r>
      <w:r>
        <w:t xml:space="preserve"> </w:t>
      </w:r>
      <w:r>
        <w:t xml:space="preserve">whole campaign, which keeps lot variation out of the designed experiments.</w:t>
      </w:r>
    </w:p>
    <w:p>
      <w:pPr>
        <w:pStyle w:val="BodyText"/>
      </w:pPr>
      <w:r>
        <w:t xml:space="preserve">Each run will be inoculated at the initial viable cell concentration the design specifies,</w:t>
      </w:r>
      <w:r>
        <w:t xml:space="preserve"> </w:t>
      </w:r>
      <w:r>
        <w:t xml:space="preserve">controlled to the pH, temperature, dissolved oxygen and dissolved CO2 set-points of that</w:t>
      </w:r>
      <w:r>
        <w:t xml:space="preserve"> </w:t>
      </w:r>
      <w:r>
        <w:t xml:space="preserve">run, and fed on the platform schedule until the harvest day the design specifies. Daily</w:t>
      </w:r>
      <w:r>
        <w:t xml:space="preserve"> </w:t>
      </w:r>
      <w:r>
        <w:t xml:space="preserve">samples support process monitoring, and the harvest sample supports the quality attributes.</w:t>
      </w:r>
    </w:p>
    <w:p>
      <w:pPr>
        <w:pStyle w:val="BodyText"/>
      </w:pPr>
      <w:r>
        <w:t xml:space="preserve">Inputs held to platform specification are identity tested and quality controlled, and they</w:t>
      </w:r>
      <w:r>
        <w:t xml:space="preserve"> </w:t>
      </w:r>
      <w:r>
        <w:t xml:space="preserve">are not characterized in this study: medium and feed lots, the gas supply and the working</w:t>
      </w:r>
      <w:r>
        <w:t xml:space="preserve"> </w:t>
      </w:r>
      <w:r>
        <w:t xml:space="preserve">cell bank all fall in that group. A change to any input in that group changes the material</w:t>
      </w:r>
      <w:r>
        <w:t xml:space="preserve"> </w:t>
      </w:r>
      <w:r>
        <w:t xml:space="preserve">basis of the study, and it would be assessed under change control before execution</w:t>
      </w:r>
      <w:r>
        <w:t xml:space="preserve"> </w:t>
      </w:r>
      <w:r>
        <w:t xml:space="preserve">continued.</w:t>
      </w:r>
    </w:p>
    <w:bookmarkEnd w:id="23"/>
    <w:bookmarkStart w:id="24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Released N-glycan mapping by 2-AB HILIC-UPLC (SOP-3010, AMV-3010) reports afucosylation,</w:t>
      </w:r>
      <w:r>
        <w:t xml:space="preserve"> </w:t>
      </w:r>
      <w:r>
        <w:t xml:space="preserve">galactosylation and high mannose from one chromatogram, size variants by SEC-HPLC</w:t>
      </w:r>
      <w:r>
        <w:t xml:space="preserve"> </w:t>
      </w:r>
      <w:r>
        <w:t xml:space="preserve">(SOP-3011, AMV-3011) report aggregates, and charge variants by imaged capillary isoelectric</w:t>
      </w:r>
      <w:r>
        <w:t xml:space="preserve"> </w:t>
      </w:r>
      <w:r>
        <w:t xml:space="preserve">focusing (SOP-3013, AMV-3013) report acidic variants. Host cell protein by ELISA</w:t>
      </w:r>
      <w:r>
        <w:t xml:space="preserve"> </w:t>
      </w:r>
      <w:r>
        <w:t xml:space="preserve">(AMV-3012) and residual host cell DNA by qPCR (AMV-3014) characterize the harvest load.</w:t>
      </w:r>
    </w:p>
    <w:p>
      <w:pPr>
        <w:pStyle w:val="BodyText"/>
      </w:pPr>
      <w:r>
        <w:t xml:space="preserve">Method performance is not restated in this plan. The performance figures (precision,</w:t>
      </w:r>
      <w:r>
        <w:t xml:space="preserve"> </w:t>
      </w:r>
      <w:r>
        <w:t xml:space="preserve">accuracy and quantitation limits) are held in the validation reports named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, and</w:t>
      </w:r>
      <w:r>
        <w:t xml:space="preserve"> </w:t>
      </w:r>
      <w:r>
        <w:t xml:space="preserve">PCR-003 will quote the relevant one wherever an effect approaches the precision of the</w:t>
      </w:r>
      <w:r>
        <w:t xml:space="preserve"> </w:t>
      </w:r>
      <w:r>
        <w:t xml:space="preserve">method. Where scheduling allows, samples from all runs of one design will be assayed in a</w:t>
      </w:r>
      <w:r>
        <w:t xml:space="preserve"> </w:t>
      </w:r>
      <w:r>
        <w:t xml:space="preserve">single analytical sequence, and every sequence carries a control sample, because drift</w:t>
      </w:r>
      <w:r>
        <w:t xml:space="preserve"> </w:t>
      </w:r>
      <w:r>
        <w:t xml:space="preserve">between sequences would enter the model as run to run variation.</w:t>
      </w:r>
    </w:p>
    <w:bookmarkEnd w:id="24"/>
    <w:bookmarkStart w:id="25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One harvest sample per run is the primary sample of this study. It will be taken at the</w:t>
      </w:r>
      <w:r>
        <w:t xml:space="preserve"> </w:t>
      </w:r>
      <w:r>
        <w:t xml:space="preserve">culture duration the run specifies, clarified by the standard bench procedure and split for</w:t>
      </w:r>
      <w:r>
        <w:t xml:space="preserve"> </w:t>
      </w:r>
      <w:r>
        <w:t xml:space="preserve">the assays in §5.3. Sample handling, labelling and storage follow SOP-2003.</w:t>
      </w:r>
    </w:p>
    <w:p>
      <w:pPr>
        <w:pStyle w:val="BodyText"/>
      </w:pPr>
      <w:r>
        <w:t xml:space="preserve">Daily in-process samples will be taken for viable cell density, viability and the main</w:t>
      </w:r>
      <w:r>
        <w:t xml:space="preserve"> </w:t>
      </w:r>
      <w:r>
        <w:t xml:space="preserve">metabolites (for example glucose and lactate), and these support the interpretation of the</w:t>
      </w:r>
      <w:r>
        <w:t xml:space="preserve"> </w:t>
      </w:r>
      <w:r>
        <w:t xml:space="preserve">harvest result and confirm that a run behaved as the design intended. They are not</w:t>
      </w:r>
      <w:r>
        <w:t xml:space="preserve"> </w:t>
      </w:r>
      <w:r>
        <w:t xml:space="preserve">modelled.</w:t>
      </w:r>
    </w:p>
    <w:p>
      <w:pPr>
        <w:pStyle w:val="BodyText"/>
      </w:pPr>
      <w:r>
        <w:t xml:space="preserve">In both designs, the centre-point runs carry the replicate structure. All of them are run</w:t>
      </w:r>
      <w:r>
        <w:t xml:space="preserve"> </w:t>
      </w:r>
      <w:r>
        <w:t xml:space="preserve">at the set-points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3 of them in the screening design and</w:t>
      </w:r>
      <w:r>
        <w:t xml:space="preserve"> </w:t>
      </w:r>
      <w:r>
        <w:t xml:space="preserve">4 in the response-surface design. Centre points will be scheduled at the</w:t>
      </w:r>
      <w:r>
        <w:t xml:space="preserve"> </w:t>
      </w:r>
      <w:r>
        <w:t xml:space="preserve">start of each execution block, in the middle and at the end, and a drift over the campaign</w:t>
      </w:r>
      <w:r>
        <w:t xml:space="preserve"> </w:t>
      </w:r>
      <w:r>
        <w:t xml:space="preserve">will then appear as a difference between replicates.</w:t>
      </w:r>
    </w:p>
    <w:bookmarkEnd w:id="25"/>
    <w:bookmarkStart w:id="26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follows SOP-1002, and the factors are coded so that the set-point is zero and the</w:t>
      </w:r>
      <w:r>
        <w:t xml:space="preserve"> </w:t>
      </w:r>
      <w:r>
        <w:t xml:space="preserve">edges of the characterization range are −1 and +1. The coded factors put every effect on</w:t>
      </w:r>
      <w:r>
        <w:t xml:space="preserve"> </w:t>
      </w:r>
      <w:r>
        <w:t xml:space="preserve">one scale, which is the change in the response across half the studied range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Effects are reported in the natural units of the response.</w:t>
      </w:r>
    </w:p>
    <w:p>
      <w:pPr>
        <w:pStyle w:val="BodyText"/>
      </w:pPr>
      <w:r>
        <w:t xml:space="preserve">The screening design will be analysed by ordinary least squares, with all main effects and</w:t>
      </w:r>
      <w:r>
        <w:t xml:space="preserve"> </w:t>
      </w:r>
      <w:r>
        <w:t xml:space="preserve">all two-factor interactions in the model, and an effect is twice the coefficient on the</w:t>
      </w:r>
      <w:r>
        <w:t xml:space="preserve"> </w:t>
      </w:r>
      <w:r>
        <w:t xml:space="preserve">coded factor, because one coded unit is half the characterization range. Every term in that</w:t>
      </w:r>
      <w:r>
        <w:t xml:space="preserve"> </w:t>
      </w:r>
      <w:r>
        <w:t xml:space="preserve">model is assessed at α = 0.05.</w:t>
      </w:r>
    </w:p>
    <w:p>
      <w:pPr>
        <w:pStyle w:val="BodyText"/>
      </w:pPr>
      <w:r>
        <w:t xml:space="preserve">The response-surface design will be analysed with a full quadratic model in the retained</w:t>
      </w:r>
      <w:r>
        <w:t xml:space="preserve"> </w:t>
      </w:r>
      <w:r>
        <w:t xml:space="preserve">factors, comprising the main effects, the two-factor interactions and the pure quadratic</w:t>
      </w:r>
      <w:r>
        <w:t xml:space="preserve"> </w:t>
      </w:r>
      <w:r>
        <w:t xml:space="preserve">terms. The adequacy of that model will be judged on R², on the adjusted and predicted forms</w:t>
      </w:r>
      <w:r>
        <w:t xml:space="preserve"> </w:t>
      </w:r>
      <w:r>
        <w:t xml:space="preserve">of R², on the overall F test and on an analysis of variance that partitions the residual</w:t>
      </w:r>
      <w:r>
        <w:t xml:space="preserve"> </w:t>
      </w:r>
      <w:r>
        <w:t xml:space="preserve">into lack of fit and pure error. The predicted form is computed from PRESS residuals, which</w:t>
      </w:r>
      <w:r>
        <w:t xml:space="preserve"> </w:t>
      </w:r>
      <w:r>
        <w:t xml:space="preserve">makes it a check on prediction and not on fit, while pure error comes from the centre-point</w:t>
      </w:r>
      <w:r>
        <w:t xml:space="preserve"> </w:t>
      </w:r>
      <w:r>
        <w:t xml:space="preserve">replicates alone, which is why the replicate count matters more here than the total run</w:t>
      </w:r>
      <w:r>
        <w:t xml:space="preserve"> </w:t>
      </w:r>
      <w:r>
        <w:t xml:space="preserve">count.</w:t>
      </w:r>
    </w:p>
    <w:p>
      <w:pPr>
        <w:pStyle w:val="BodyText"/>
      </w:pPr>
      <w:r>
        <w:t xml:space="preserve">The two designs answer different questions: the screening design identifies which factors</w:t>
      </w:r>
      <w:r>
        <w:t xml:space="preserve"> </w:t>
      </w:r>
      <w:r>
        <w:t xml:space="preserve">matter, and the response-surface design is the predictive model from which the operating</w:t>
      </w:r>
      <w:r>
        <w:t xml:space="preserve"> </w:t>
      </w:r>
      <w:r>
        <w:t xml:space="preserve">region in PCR-003 will be derived. A screening model in 5 factors fitted</w:t>
      </w:r>
      <w:r>
        <w:t xml:space="preserve"> </w:t>
      </w:r>
      <w:r>
        <w:t xml:space="preserve">to 19 runs is close to saturated, and a high fit statistic from such a model</w:t>
      </w:r>
      <w:r>
        <w:t xml:space="preserve"> </w:t>
      </w:r>
      <w:r>
        <w:t xml:space="preserve">is not evidence of predictive quality.</w:t>
      </w:r>
    </w:p>
    <w:p>
      <w:pPr>
        <w:pStyle w:val="BodyText"/>
      </w:pPr>
      <w:r>
        <w:t xml:space="preserve">For each attribute, capability will be estimated by Monte-Carlo simulation of</w:t>
      </w:r>
      <w:r>
        <w:t xml:space="preserve"> </w:t>
      </w:r>
      <w:r>
        <w:t xml:space="preserve">2,000 batches. Each simulated batch draws every parameter inside the</w:t>
      </w:r>
      <w:r>
        <w:t xml:space="preserve"> </w:t>
      </w:r>
      <w:r>
        <w:t xml:space="preserve">normal operating range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and the fitted response-surface model predicts each</w:t>
      </w:r>
      <w:r>
        <w:t xml:space="preserve"> </w:t>
      </w:r>
      <w:r>
        <w:t xml:space="preserve">attribute for it. Capability is reported as a one-sided Cpk against the governing limit,</w:t>
      </w:r>
      <w:r>
        <w:t xml:space="preserve"> </w:t>
      </w:r>
      <w:r>
        <w:t xml:space="preserve">with the margin to that limit. The Cpk estimate is conditioned on the scale-down model and on the fitted</w:t>
      </w:r>
      <w:r>
        <w:t xml:space="preserve"> </w:t>
      </w:r>
      <w:r>
        <w:t xml:space="preserve">model. It is not a commercial-scale measurement, and Stage 2 provides that confirmation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26"/>
    <w:bookmarkEnd w:id="27"/>
    <w:bookmarkStart w:id="34" w:name="study-design"/>
    <w:p>
      <w:pPr>
        <w:pStyle w:val="Heading1"/>
      </w:pPr>
      <w:r>
        <w:t xml:space="preserve">6. Study design</w:t>
      </w:r>
    </w:p>
    <w:bookmarkStart w:id="30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parameters, the set-points, the ranges to be studied, the normal operating ranges and</w:t>
      </w:r>
      <w:r>
        <w:t xml:space="preserve"> </w:t>
      </w:r>
      <w:r>
        <w:t xml:space="preserve">the study types are 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 to be studied, with the range studied and the normal operating range.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For the design matrices in Appendix A and Appendix B, the letter codes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Factor legend for the coded design matrices.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Culture pH will be studied over 6.6–7.1, against a normal operating range of</w:t>
      </w:r>
      <w:r>
        <w:t xml:space="preserve"> </w:t>
      </w:r>
      <w:r>
        <w:t xml:space="preserve">6.75–6.95, and that width covers the excursions a commercial vessel can show</w:t>
      </w:r>
      <w:r>
        <w:t xml:space="preserve"> </w:t>
      </w:r>
      <w:r>
        <w:t xml:space="preserve">during a base addition into a large working volume. Culture temperature will be studied</w:t>
      </w:r>
      <w:r>
        <w:t xml:space="preserve"> </w:t>
      </w:r>
      <w:r>
        <w:t xml:space="preserve">over 34–36 °C, which is wider than the control system is capable of</w:t>
      </w:r>
      <w:r>
        <w:t xml:space="preserve"> </w:t>
      </w:r>
      <w:r>
        <w:t xml:space="preserve">drifting. Osmolality will be studied over 360–440 mOsm, which covers</w:t>
      </w:r>
      <w:r>
        <w:t xml:space="preserve"> </w:t>
      </w:r>
      <w:r>
        <w:t xml:space="preserve">the rise a full feed schedule produces. Dissolved CO2 will be studied over</w:t>
      </w:r>
      <w:r>
        <w:t xml:space="preserve"> </w:t>
      </w:r>
      <w:r>
        <w:t xml:space="preserve">40–160 mmHg, because CO2 accumulates at large scale and a commercial vessel</w:t>
      </w:r>
      <w:r>
        <w:t xml:space="preserve"> </w:t>
      </w:r>
      <w:r>
        <w:t xml:space="preserve">is expected to sit higher than a bench vessel held at the same set-point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Culture duration will be studied over 15–19 days, which brackets the</w:t>
      </w:r>
      <w:r>
        <w:t xml:space="preserve"> </w:t>
      </w:r>
      <w:r>
        <w:t xml:space="preserve">platform harvest day on both sides. The 4 univariate parameters will be</w:t>
      </w:r>
      <w:r>
        <w:t xml:space="preserve"> </w:t>
      </w:r>
      <w:r>
        <w:t xml:space="preserve">studied over the ranges in the same table, one at a time (§6.4).</w:t>
      </w:r>
    </w:p>
    <w:bookmarkEnd w:id="30"/>
    <w:bookmarkStart w:id="31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two-level fractional factorial in the 5 factors,</w:t>
      </w:r>
      <w:r>
        <w:t xml:space="preserve"> </w:t>
      </w:r>
      <w:r>
        <w:t xml:space="preserve">with 16 factorial runs and 3 centre points,</w:t>
      </w:r>
      <w:r>
        <w:t xml:space="preserve"> </w:t>
      </w:r>
      <w:r>
        <w:t xml:space="preserve">19 runs in all, against the 32 runs a full factorial in</w:t>
      </w:r>
      <w:r>
        <w:t xml:space="preserve"> </w:t>
      </w:r>
      <w:r>
        <w:t xml:space="preserve">those factors would need. The fractional design is of resolution V. Therefore, the design</w:t>
      </w:r>
      <w:r>
        <w:t xml:space="preserve"> </w:t>
      </w:r>
      <w:r>
        <w:t xml:space="preserve">estimates every main effect clear of every two-factor interaction, and it aliases each</w:t>
      </w:r>
      <w:r>
        <w:t xml:space="preserve"> </w:t>
      </w:r>
      <w:r>
        <w:t xml:space="preserve">two-factor interaction only with a three-factor interaction. The planned matrix is given in</w:t>
      </w:r>
      <w:r>
        <w:t xml:space="preserve"> </w:t>
      </w:r>
      <w:r>
        <w:t xml:space="preserve">Appendix A.</w:t>
      </w:r>
    </w:p>
    <w:p>
      <w:pPr>
        <w:pStyle w:val="BodyText"/>
      </w:pPr>
      <w:r>
        <w:t xml:space="preserve">At the screening stage, three-factor and higher interactions are assumed to be negligible,</w:t>
      </w:r>
      <w:r>
        <w:t xml:space="preserve"> </w:t>
      </w:r>
      <w:r>
        <w:t xml:space="preserve">an assumption that is standard at that stage and that platform experience gives no reason</w:t>
      </w:r>
      <w:r>
        <w:t xml:space="preserve"> </w:t>
      </w:r>
      <w:r>
        <w:t xml:space="preserve">to doubt for this step. However, a fractional design of this kind cannot resolve every</w:t>
      </w:r>
      <w:r>
        <w:t xml:space="preserve"> </w:t>
      </w:r>
      <w:r>
        <w:t xml:space="preserve">interaction, and the factors it retains go forward into the response-surface stage for</w:t>
      </w:r>
      <w:r>
        <w:t xml:space="preserve"> </w:t>
      </w:r>
      <w:r>
        <w:t xml:space="preserve">that reason.</w:t>
      </w:r>
    </w:p>
    <w:p>
      <w:pPr>
        <w:pStyle w:val="BodyText"/>
      </w:pPr>
      <w:r>
        <w:t xml:space="preserve">The screening stage identifies. It does not define an operating region, and PCR-003 will</w:t>
      </w:r>
      <w:r>
        <w:t xml:space="preserve"> </w:t>
      </w:r>
      <w:r>
        <w:t xml:space="preserve">not present a screening fit as a predictive model.</w:t>
      </w:r>
    </w:p>
    <w:bookmarkEnd w:id="31"/>
    <w:bookmarkStart w:id="32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in the</w:t>
      </w:r>
      <w:r>
        <w:t xml:space="preserve"> </w:t>
      </w:r>
      <w:r>
        <w:t xml:space="preserve">4 factors that screening is expected to retain: culture pH, culture</w:t>
      </w:r>
      <w:r>
        <w:t xml:space="preserve"> </w:t>
      </w:r>
      <w:r>
        <w:t xml:space="preserve">temperature, culture duration and dissolved CO2. It comprises 16</w:t>
      </w:r>
      <w:r>
        <w:t xml:space="preserve"> </w:t>
      </w:r>
      <w:r>
        <w:t xml:space="preserve">factorial runs, 8 axial runs and 4 centre points,</w:t>
      </w:r>
      <w:r>
        <w:t xml:space="preserve"> </w:t>
      </w:r>
      <w:r>
        <w:t xml:space="preserve">28 runs in all. The axial runs sit on the faces of the cube, at the edges of</w:t>
      </w:r>
      <w:r>
        <w:t xml:space="preserve"> </w:t>
      </w:r>
      <w:r>
        <w:t xml:space="preserve">the characterization ranges, and a rotatable design would place them outside the ranges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defines. Consequently, no run in this study leaves the knowledge space.</w:t>
      </w:r>
    </w:p>
    <w:p>
      <w:pPr>
        <w:pStyle w:val="BodyText"/>
      </w:pPr>
      <w:r>
        <w:t xml:space="preserve">The second stage exists for curvature, because a two-level design cannot separate a curved</w:t>
      </w:r>
      <w:r>
        <w:t xml:space="preserve"> </w:t>
      </w:r>
      <w:r>
        <w:t xml:space="preserve">response from a linear one and the centre points of the screening design can show only that</w:t>
      </w:r>
      <w:r>
        <w:t xml:space="preserve"> </w:t>
      </w:r>
      <w:r>
        <w:t xml:space="preserve">curvature is present. The planned matrix is given in Appendix B.</w:t>
      </w:r>
    </w:p>
    <w:p>
      <w:pPr>
        <w:pStyle w:val="BodyText"/>
      </w:pPr>
      <w:r>
        <w:t xml:space="preserve">Although the matrix in Appendix B assumes that screening retains the four factors named</w:t>
      </w:r>
      <w:r>
        <w:t xml:space="preserve"> </w:t>
      </w:r>
      <w:r>
        <w:t xml:space="preserve">above, screening may retain a different set, and the matrix will then be re-issued before</w:t>
      </w:r>
      <w:r>
        <w:t xml:space="preserve"> </w:t>
      </w:r>
      <w:r>
        <w:t xml:space="preserve">execution. A re-issue on that ground is an amendment to this plan and not a deviation from</w:t>
      </w:r>
      <w:r>
        <w:t xml:space="preserve"> </w:t>
      </w:r>
      <w:r>
        <w:t xml:space="preserve">it.</w:t>
      </w:r>
    </w:p>
    <w:bookmarkEnd w:id="32"/>
    <w:bookmarkStart w:id="33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The 4 univariate parameters are dissolved oxygen, initial viable cell</w:t>
      </w:r>
      <w:r>
        <w:t xml:space="preserve"> </w:t>
      </w:r>
      <w:r>
        <w:t xml:space="preserve">concentration, basal medium concentration and nutrient feed-1 volume, and each of the four</w:t>
      </w:r>
      <w:r>
        <w:t xml:space="preserve"> </w:t>
      </w:r>
      <w:r>
        <w:t xml:space="preserve">will be assessed separately, at the low edge of the characterization range, at the</w:t>
      </w:r>
      <w:r>
        <w:t xml:space="preserve"> </w:t>
      </w:r>
      <w:r>
        <w:t xml:space="preserve">set-point and at the high edge. While one parameter moves, the other three and all</w:t>
      </w:r>
      <w:r>
        <w:t xml:space="preserve"> </w:t>
      </w:r>
      <w:r>
        <w:t xml:space="preserve">5 multivariate factors are held at the set-points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BodyText"/>
      </w:pPr>
      <w:r>
        <w:t xml:space="preserve">By construction, a univariate assessment cannot detect an interaction between the parameter</w:t>
      </w:r>
      <w:r>
        <w:t xml:space="preserve"> </w:t>
      </w:r>
      <w:r>
        <w:t xml:space="preserve">it moves and the parameters it holds, and that limitation is accepted here on the basis of</w:t>
      </w:r>
      <w:r>
        <w:t xml:space="preserve"> </w:t>
      </w:r>
      <w:r>
        <w:t xml:space="preserve">RA-001, which found no plausible interaction between these four parameters and the</w:t>
      </w:r>
      <w:r>
        <w:t xml:space="preserve"> </w:t>
      </w:r>
      <w:r>
        <w:t xml:space="preserve">multivariate set.</w:t>
      </w:r>
      <w:r>
        <w:t xml:space="preserve"> </w:t>
      </w:r>
      <w:r>
        <w:t xml:space="preserve">However, should a univariate result contradict that finding, the parameter will be carried</w:t>
      </w:r>
      <w:r>
        <w:t xml:space="preserve"> </w:t>
      </w:r>
      <w:r>
        <w:t xml:space="preserve">into a multivariate follow-up study and PCR-003 will record the decision.</w:t>
      </w:r>
    </w:p>
    <w:bookmarkEnd w:id="33"/>
    <w:bookmarkEnd w:id="34"/>
    <w:bookmarkStart w:id="35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criteria below are fixed before execution, because a criterion agreed after the results</w:t>
      </w:r>
      <w:r>
        <w:t xml:space="preserve"> </w:t>
      </w:r>
      <w:r>
        <w:t xml:space="preserve">are known describes them instead of testing them.</w:t>
      </w:r>
    </w:p>
    <w:p>
      <w:pPr>
        <w:pStyle w:val="BodyText"/>
      </w:pPr>
      <w:r>
        <w:t xml:space="preserve">The scale-down model is acceptable when the qualification under SOP-1001 shows no</w:t>
      </w:r>
      <w:r>
        <w:t xml:space="preserve"> </w:t>
      </w:r>
      <w:r>
        <w:t xml:space="preserve">statistically significant difference between scales in the growth profile, the titer and</w:t>
      </w:r>
      <w:r>
        <w:t xml:space="preserve"> </w:t>
      </w:r>
      <w:r>
        <w:t xml:space="preserve">the 5 modelled attributes. Execution of the study begins once that</w:t>
      </w:r>
      <w:r>
        <w:t xml:space="preserve"> </w:t>
      </w:r>
      <w:r>
        <w:t xml:space="preserve">qualification report is approved.</w:t>
      </w:r>
    </w:p>
    <w:p>
      <w:pPr>
        <w:pStyle w:val="BodyText"/>
      </w:pPr>
      <w:r>
        <w:t xml:space="preserve">A factor is carried from screening into the response-surface stage when a main effect, or</w:t>
      </w:r>
      <w:r>
        <w:t xml:space="preserve"> </w:t>
      </w:r>
      <w:r>
        <w:t xml:space="preserve">an interaction containing it, reaches significance at α = 0.05 for at least one attribute.</w:t>
      </w:r>
      <w:r>
        <w:t xml:space="preserve"> </w:t>
      </w:r>
      <w:r>
        <w:t xml:space="preserve">A factor may also be carried on mechanistic grounds, where the estimated effect is of the</w:t>
      </w:r>
      <w:r>
        <w:t xml:space="preserve"> </w:t>
      </w:r>
      <w:r>
        <w:t xml:space="preserve">same order as the significant terms and the residual degrees of freedom are few, and any</w:t>
      </w:r>
      <w:r>
        <w:t xml:space="preserve"> </w:t>
      </w:r>
      <w:r>
        <w:t xml:space="preserve">factor carried on that second ground will be identified as such in PCR-003.</w:t>
      </w:r>
    </w:p>
    <w:p>
      <w:pPr>
        <w:pStyle w:val="BodyText"/>
      </w:pPr>
      <w:r>
        <w:t xml:space="preserve">A response-surface model is adequate for the operating region when the overall regression</w:t>
      </w:r>
      <w:r>
        <w:t xml:space="preserve"> </w:t>
      </w:r>
      <w:r>
        <w:t xml:space="preserve">is significant at α = 0.05, when the adjusted and predicted forms of R² are consistent with</w:t>
      </w:r>
      <w:r>
        <w:t xml:space="preserve"> </w:t>
      </w:r>
      <w:r>
        <w:t xml:space="preserve">each other and when the lack-of-fit test is not significant against pure error. However, a</w:t>
      </w:r>
      <w:r>
        <w:t xml:space="preserve"> </w:t>
      </w:r>
      <w:r>
        <w:t xml:space="preserve">model that fails the lack-of-fit test may still support a restricted region, and PCR-003</w:t>
      </w:r>
      <w:r>
        <w:t xml:space="preserve"> </w:t>
      </w:r>
      <w:r>
        <w:t xml:space="preserve">will state the restriction and the reason for it. Where a lack of fit cannot be resolved by</w:t>
      </w:r>
      <w:r>
        <w:t xml:space="preserve"> </w:t>
      </w:r>
      <w:r>
        <w:t xml:space="preserve">reducing the model or by restricting the region, the study has failed for that attribute,</w:t>
      </w:r>
      <w:r>
        <w:t xml:space="preserve"> </w:t>
      </w:r>
      <w:r>
        <w:t xml:space="preserve">and the attribute is then held by monitoring and by release testing until further work is</w:t>
      </w:r>
      <w:r>
        <w:t xml:space="preserve"> </w:t>
      </w:r>
      <w:r>
        <w:t xml:space="preserve">completed.</w:t>
      </w:r>
    </w:p>
    <w:p>
      <w:pPr>
        <w:pStyle w:val="BodyText"/>
      </w:pPr>
      <w:r>
        <w:t xml:space="preserve">The operating region is acceptable when every attribute the step governs is predicted to</w:t>
      </w:r>
      <w:r>
        <w:t xml:space="preserve"> </w:t>
      </w:r>
      <w:r>
        <w:t xml:space="preserve">meet the criterion in §8 throughout the region, including at the corner where the</w:t>
      </w:r>
      <w:r>
        <w:t xml:space="preserve"> </w:t>
      </w:r>
      <w:r>
        <w:t xml:space="preserve">prediction is least favourable.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must lie inside</w:t>
      </w:r>
      <w:r>
        <w:t xml:space="preserve"> </w:t>
      </w:r>
      <w:r>
        <w:t xml:space="preserve">the region with margin, and if they do not, the operating ranges will be narrowed and the</w:t>
      </w:r>
      <w:r>
        <w:t xml:space="preserve"> </w:t>
      </w:r>
      <w:r>
        <w:t xml:space="preserve">criterion will not be relaxed to accommodate them.</w:t>
      </w:r>
    </w:p>
    <w:p>
      <w:pPr>
        <w:pStyle w:val="BodyText"/>
      </w:pPr>
      <w:r>
        <w:t xml:space="preserve">At the end of the study, every parameter will be given a class under SOP-4001: critical</w:t>
      </w:r>
      <w:r>
        <w:t xml:space="preserve"> </w:t>
      </w:r>
      <w:r>
        <w:t xml:space="preserve">process parameter, well-controlled critical process parameter, key process parameter or</w:t>
      </w:r>
      <w:r>
        <w:t xml:space="preserve"> </w:t>
      </w:r>
      <w:r>
        <w:t xml:space="preserve">general process parameter. The class follows from the demonstrated effect on a quality</w:t>
      </w:r>
      <w:r>
        <w:t xml:space="preserve"> </w:t>
      </w:r>
      <w:r>
        <w:t xml:space="preserve">attribute and from the risk that the parameter leaves the region during commercial operation</w:t>
      </w:r>
      <w:r>
        <w:t xml:space="preserve"> </w:t>
      </w:r>
      <w:r>
        <w:t xml:space="preserve">(CMC Biotech Working Group 2009)</w:t>
      </w:r>
      <w:r>
        <w:t xml:space="preserve">. A</w:t>
      </w:r>
      <w:r>
        <w:t xml:space="preserve"> </w:t>
      </w:r>
      <w:r>
        <w:t xml:space="preserve">parameter with no significant effect is still classified, and the absence of an effect is</w:t>
      </w:r>
      <w:r>
        <w:t xml:space="preserve"> </w:t>
      </w:r>
      <w:r>
        <w:t xml:space="preserve">kept in the knowledge space as evidence of robustness over the ranges studied.</w:t>
      </w:r>
    </w:p>
    <w:p>
      <w:pPr>
        <w:pStyle w:val="BodyText"/>
      </w:pPr>
      <w:r>
        <w:t xml:space="preserve">No numeric capability threshold is set in this plan. Capability will be reported for each</w:t>
      </w:r>
      <w:r>
        <w:t xml:space="preserve"> </w:t>
      </w:r>
      <w:r>
        <w:t xml:space="preserve">attribute as a one-sided Cpk with the margin to the limit, and the acceptability of the set</w:t>
      </w:r>
      <w:r>
        <w:t xml:space="preserve"> </w:t>
      </w:r>
      <w:r>
        <w:t xml:space="preserve">is judged in PCMR-001 against the framework in PCMP-001. A capability estimated from a</w:t>
      </w:r>
      <w:r>
        <w:t xml:space="preserve"> </w:t>
      </w:r>
      <w:r>
        <w:t xml:space="preserve">scale-down model is a prediction, and confirmation at commercial scale is a Stage 2</w:t>
      </w:r>
      <w:r>
        <w:t xml:space="preserve"> </w:t>
      </w:r>
      <w:r>
        <w:t xml:space="preserve">activity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Any departure from this plan during execution will be recorded, investigated and impact</w:t>
      </w:r>
      <w:r>
        <w:t xml:space="preserve"> </w:t>
      </w:r>
      <w:r>
        <w:t xml:space="preserve">assessed, and PCR-003 will carry the assessment. A deviation that invalidates a run</w:t>
      </w:r>
      <w:r>
        <w:t xml:space="preserve"> </w:t>
      </w:r>
      <w:r>
        <w:t xml:space="preserve">requires that run to be repeated before the affected design is analysed.</w:t>
      </w:r>
    </w:p>
    <w:bookmarkEnd w:id="35"/>
    <w:bookmarkStart w:id="36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the range of one parameter over which a quality attribute</w:t>
      </w:r>
      <w:r>
        <w:t xml:space="preserve"> </w:t>
      </w:r>
      <w:r>
        <w:t xml:space="preserve">stays within acceptance while the other parameters are held or varied in a stated way. The</w:t>
      </w:r>
      <w:r>
        <w:t xml:space="preserve"> </w:t>
      </w:r>
      <w:r>
        <w:t xml:space="preserve">range is univariate and the design space is multivariate. The design space and the ranges</w:t>
      </w:r>
      <w:r>
        <w:t xml:space="preserve"> </w:t>
      </w:r>
      <w:r>
        <w:t xml:space="preserve">are kept apart in PCR-003, and this section states in advance how each range is derived.</w:t>
      </w:r>
    </w:p>
    <w:p>
      <w:pPr>
        <w:pStyle w:val="BodyText"/>
      </w:pPr>
      <w:r>
        <w:t xml:space="preserve">The criterion a range is judged against comes first. For each of the 5</w:t>
      </w:r>
      <w:r>
        <w:t xml:space="preserve"> </w:t>
      </w:r>
      <w:r>
        <w:t xml:space="preserve">modelled attributes the criterion is the drug-substance specification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unless a</w:t>
      </w:r>
      <w:r>
        <w:t xml:space="preserve"> </w:t>
      </w:r>
      <w:r>
        <w:t xml:space="preserve">tighter in-process limit applies to the bioreactor harvest itself. Two kinds of in-process</w:t>
      </w:r>
      <w:r>
        <w:t xml:space="preserve"> </w:t>
      </w:r>
      <w:r>
        <w:t xml:space="preserve">limit apply at this step. For the three glycan attributes and for acidic variants, none of</w:t>
      </w:r>
      <w:r>
        <w:t xml:space="preserve"> </w:t>
      </w:r>
      <w:r>
        <w:t xml:space="preserve">which the purification train clears or modifies, the limit will be set from the capability this</w:t>
      </w:r>
      <w:r>
        <w:t xml:space="preserve"> </w:t>
      </w:r>
      <w:r>
        <w:t xml:space="preserve">study demonstrates, at 2.5 standard deviations from the mean. For</w:t>
      </w:r>
      <w:r>
        <w:t xml:space="preserve"> </w:t>
      </w:r>
      <w:r>
        <w:t xml:space="preserve">aggregates the limit is carried back from the drug-substance specification through the</w:t>
      </w:r>
      <w:r>
        <w:t xml:space="preserve"> </w:t>
      </w:r>
      <w:r>
        <w:t xml:space="preserve">clearance the downstream steps deliver, then divided by an assurance margin of</w:t>
      </w:r>
      <w:r>
        <w:t xml:space="preserve"> </w:t>
      </w:r>
      <w:r>
        <w:t xml:space="preserve">6.8. The analysis reads the applicable criterion for each</w:t>
      </w:r>
      <w:r>
        <w:t xml:space="preserve"> </w:t>
      </w:r>
      <w:r>
        <w:t xml:space="preserve">attribute from the register, and no criterion is calculated by hand.</w:t>
      </w:r>
    </w:p>
    <w:p>
      <w:pPr>
        <w:pStyle w:val="BodyText"/>
      </w:pPr>
      <w:r>
        <w:t xml:space="preserve">For every pairing of an attribute with a response-surface factor, two analyses will be run.</w:t>
      </w:r>
      <w:r>
        <w:t xml:space="preserve"> </w:t>
      </w:r>
      <w:r>
        <w:t xml:space="preserve">The first holds the other factors at the set-points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scans the parameter</w:t>
      </w:r>
      <w:r>
        <w:t xml:space="preserve"> </w:t>
      </w:r>
      <w:r>
        <w:t xml:space="preserve">of interest across the full characterization range, evaluating the fitted response-surface</w:t>
      </w:r>
      <w:r>
        <w:t xml:space="preserve"> </w:t>
      </w:r>
      <w:r>
        <w:t xml:space="preserve">model at 201 grid points. The second propagates normal operating variation:</w:t>
      </w:r>
      <w:r>
        <w:t xml:space="preserve"> </w:t>
      </w:r>
      <w:r>
        <w:t xml:space="preserve">at each of 81 grid points the other factors are drawn within the normal</w:t>
      </w:r>
      <w:r>
        <w:t xml:space="preserve"> </w:t>
      </w:r>
      <w:r>
        <w:t xml:space="preserve">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2,000 draws at each point, with the</w:t>
      </w:r>
      <w:r>
        <w:t xml:space="preserve"> </w:t>
      </w:r>
      <w:r>
        <w:t xml:space="preserve">residual variance of the model added to every prediction.</w:t>
      </w:r>
    </w:p>
    <w:p>
      <w:pPr>
        <w:pStyle w:val="BodyText"/>
      </w:pPr>
      <w:r>
        <w:t xml:space="preserve">The decision rule differs between the two analyses. Under the first, the proven acceptable</w:t>
      </w:r>
      <w:r>
        <w:t xml:space="preserve"> </w:t>
      </w:r>
      <w:r>
        <w:t xml:space="preserve">range is the contiguous interval containing the set-point over which the predicted mean</w:t>
      </w:r>
      <w:r>
        <w:t xml:space="preserve"> </w:t>
      </w:r>
      <w:r>
        <w:t xml:space="preserve">stays within acceptance. Under the second, the interval must hold the whole 95 % predictive</w:t>
      </w:r>
      <w:r>
        <w:t xml:space="preserve"> </w:t>
      </w:r>
      <w:r>
        <w:t xml:space="preserve">interval within acceptance. The second rule is a robustness criterion and will give the</w:t>
      </w:r>
      <w:r>
        <w:t xml:space="preserve"> </w:t>
      </w:r>
      <w:r>
        <w:t xml:space="preserve">narrower answer wherever the other factors have an effect. Both ranges will be reported for</w:t>
      </w:r>
      <w:r>
        <w:t xml:space="preserve"> </w:t>
      </w:r>
      <w:r>
        <w:t xml:space="preserve">every pairing, in one table.</w:t>
      </w:r>
    </w:p>
    <w:p>
      <w:pPr>
        <w:pStyle w:val="BodyText"/>
      </w:pPr>
      <w:r>
        <w:t xml:space="preserve">Each governed attribute will also be presented as a figure against the parameter that</w:t>
      </w:r>
      <w:r>
        <w:t xml:space="preserve"> </w:t>
      </w:r>
      <w:r>
        <w:t xml:space="preserve">governs it, in two panels that correspond to the two analyses, with the acceptance limit</w:t>
      </w:r>
      <w:r>
        <w:t xml:space="preserve"> </w:t>
      </w:r>
      <w:r>
        <w:t xml:space="preserve">drawn, the acceptable region shaded green, and the set-point and the normal operating range</w:t>
      </w:r>
      <w:r>
        <w:t xml:space="preserve"> </w:t>
      </w:r>
      <w:r>
        <w:t xml:space="preserve">marked. Where a proven acceptable range covers the whole characterization range, the</w:t>
      </w:r>
      <w:r>
        <w:t xml:space="preserve"> </w:t>
      </w:r>
      <w:r>
        <w:t xml:space="preserve">parameter does not constrain the step over the region studied. The binding constraint on</w:t>
      </w:r>
      <w:r>
        <w:t xml:space="preserve"> </w:t>
      </w:r>
      <w:r>
        <w:t xml:space="preserve">the step is then the multivariate corner of the design space, and not any univariate range.</w:t>
      </w:r>
    </w:p>
    <w:p>
      <w:pPr>
        <w:pStyle w:val="BodyText"/>
      </w:pPr>
      <w:r>
        <w:t xml:space="preserve">Every proven acceptable range this study reports will carry three bounds. Nothing is proven</w:t>
      </w:r>
      <w:r>
        <w:t xml:space="preserve"> </w:t>
      </w:r>
      <w:r>
        <w:t xml:space="preserve">outside the characterization range, because nothing outside it was studied. The range is a</w:t>
      </w:r>
      <w:r>
        <w:t xml:space="preserve"> </w:t>
      </w:r>
      <w:r>
        <w:t xml:space="preserve">property of the fitted response-surface model, and a model that fails the adequacy criteria</w:t>
      </w:r>
      <w:r>
        <w:t xml:space="preserve"> </w:t>
      </w:r>
      <w:r>
        <w:t xml:space="preserve">in §7 supports no proven acceptable range at all. Finally, the second analysis propagates</w:t>
      </w:r>
      <w:r>
        <w:t xml:space="preserve"> </w:t>
      </w:r>
      <w:r>
        <w:t xml:space="preserve">the normal operating variation of the other response-surface factors and the residual</w:t>
      </w:r>
      <w:r>
        <w:t xml:space="preserve"> </w:t>
      </w:r>
      <w:r>
        <w:t xml:space="preserve">variance of the model, and it does not propagate variation in the parameters assessed</w:t>
      </w:r>
      <w:r>
        <w:t xml:space="preserve"> </w:t>
      </w:r>
      <w:r>
        <w:t xml:space="preserve">univariately.</w:t>
      </w:r>
    </w:p>
    <w:bookmarkEnd w:id="36"/>
    <w:bookmarkStart w:id="37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Throughout the study, records will be attributable, legible, contemporaneous, original and</w:t>
      </w:r>
      <w:r>
        <w:t xml:space="preserve"> </w:t>
      </w:r>
      <w:r>
        <w:t xml:space="preserve">accurate, and they will also be complete, consistent, enduring and available (ALCOA+).</w:t>
      </w:r>
    </w:p>
    <w:p>
      <w:pPr>
        <w:pStyle w:val="BodyText"/>
      </w:pPr>
      <w:r>
        <w:t xml:space="preserve">Raw analytical data are acquired and retained in the validated chromatography and</w:t>
      </w:r>
      <w:r>
        <w:t xml:space="preserve"> </w:t>
      </w:r>
      <w:r>
        <w:t xml:space="preserve">electrophoresis data systems, with audit trails enabled, and bioreactor process data are</w:t>
      </w:r>
      <w:r>
        <w:t xml:space="preserve"> </w:t>
      </w:r>
      <w:r>
        <w:t xml:space="preserve">acquired by the control system and retained in the process historian. The design matrices,</w:t>
      </w:r>
      <w:r>
        <w:t xml:space="preserve"> </w:t>
      </w:r>
      <w:r>
        <w:t xml:space="preserve">the calculated results and the statistical analyses are held in a version-controlled study</w:t>
      </w:r>
      <w:r>
        <w:t xml:space="preserve"> </w:t>
      </w:r>
      <w:r>
        <w:t xml:space="preserve">workbook, from which the analysis will be reproducible using the raw data and the recorded</w:t>
      </w:r>
      <w:r>
        <w:t xml:space="preserve"> </w:t>
      </w:r>
      <w:r>
        <w:t xml:space="preserve">model settings.</w:t>
      </w:r>
    </w:p>
    <w:p>
      <w:pPr>
        <w:pStyle w:val="BodyText"/>
      </w:pPr>
      <w:r>
        <w:t xml:space="preserve">Before analysis, every transcription of a result will be verified by a second person. The</w:t>
      </w:r>
      <w:r>
        <w:t xml:space="preserve"> </w:t>
      </w:r>
      <w:r>
        <w:t xml:space="preserve">statistical analysis will be reviewed by someone other than the analyst who performed it.</w:t>
      </w:r>
      <w:r>
        <w:t xml:space="preserve"> </w:t>
      </w:r>
      <w:r>
        <w:t xml:space="preserve">Records are retained under the site record retention procedure.</w:t>
      </w:r>
    </w:p>
    <w:bookmarkEnd w:id="37"/>
    <w:bookmarkStart w:id="38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Process Development and MSAT own this plan. Process Development and MSAT also design the</w:t>
      </w:r>
      <w:r>
        <w:t xml:space="preserve"> </w:t>
      </w:r>
      <w:r>
        <w:t xml:space="preserve">study, execute the bioreactor runs, perform the statistical analysis and write PCR-003.</w:t>
      </w:r>
    </w:p>
    <w:p>
      <w:pPr>
        <w:pStyle w:val="BodyText"/>
      </w:pPr>
      <w:r>
        <w:t xml:space="preserve">Analytical Development performs the assays in §5.3, maintains the validated methods and</w:t>
      </w:r>
      <w:r>
        <w:t xml:space="preserve"> </w:t>
      </w:r>
      <w:r>
        <w:t xml:space="preserve">reports the analytical results. Manufacturing Science reviews the design and the proposed</w:t>
      </w:r>
      <w:r>
        <w:t xml:space="preserve"> </w:t>
      </w:r>
      <w:r>
        <w:t xml:space="preserve">ranges against the capability of the commercial equipment, and confirms that the ranges the</w:t>
      </w:r>
      <w:r>
        <w:t xml:space="preserve"> </w:t>
      </w:r>
      <w:r>
        <w:t xml:space="preserve">study proposes can be held at the receiving site. Statistics reviews the design, the model</w:t>
      </w:r>
      <w:r>
        <w:t xml:space="preserve"> </w:t>
      </w:r>
      <w:r>
        <w:t xml:space="preserve">forms and the analysis. Quality Assurance approves this plan and PCR-003, and dispositions</w:t>
      </w:r>
      <w:r>
        <w:t xml:space="preserve"> </w:t>
      </w:r>
      <w:r>
        <w:t xml:space="preserve">any deviation raised during execution.</w:t>
      </w:r>
    </w:p>
    <w:bookmarkEnd w:id="38"/>
    <w:bookmarkStart w:id="3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is PCR-003, the process characterization report for the production</w:t>
      </w:r>
      <w:r>
        <w:t xml:space="preserve"> </w:t>
      </w:r>
      <w:r>
        <w:t xml:space="preserve">bioreactor, which carries the effects, the models, the operating region, the proven</w:t>
      </w:r>
      <w:r>
        <w:t xml:space="preserve"> </w:t>
      </w:r>
      <w:r>
        <w:t xml:space="preserve">acceptable ranges, the capability estimates and the parameter classifications, and which</w:t>
      </w:r>
      <w:r>
        <w:t xml:space="preserve"> </w:t>
      </w:r>
      <w:r>
        <w:t xml:space="preserve">rolls up into PCMR-001.</w:t>
      </w:r>
    </w:p>
    <w:p>
      <w:pPr>
        <w:pStyle w:val="BodyText"/>
      </w:pPr>
      <w:r>
        <w:t xml:space="preserve">The work runs in four phases, of which qualification of the scale-down model under SOP-1001</w:t>
      </w:r>
      <w:r>
        <w:t xml:space="preserve"> </w:t>
      </w:r>
      <w:r>
        <w:t xml:space="preserve">comes first, followed by execution and analysis of the screening design and then by</w:t>
      </w:r>
      <w:r>
        <w:t xml:space="preserve"> </w:t>
      </w:r>
      <w:r>
        <w:t xml:space="preserve">execution and analysis of the response-surface design. Once the analytical results for</w:t>
      </w:r>
      <w:r>
        <w:t xml:space="preserve"> </w:t>
      </w:r>
      <w:r>
        <w:t xml:space="preserve">every run of a phase are available, analysis of that phase begins. The univariate</w:t>
      </w:r>
      <w:r>
        <w:t xml:space="preserve"> </w:t>
      </w:r>
      <w:r>
        <w:t xml:space="preserve">assessments may run in parallel with either designed experiment. Because the campaign</w:t>
      </w:r>
      <w:r>
        <w:t xml:space="preserve"> </w:t>
      </w:r>
      <w:r>
        <w:t xml:space="preserve">schedule is held in PTP-001, no calendar dates are given here.</w:t>
      </w:r>
    </w:p>
    <w:bookmarkEnd w:id="39"/>
    <w:bookmarkStart w:id="4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principal risk to the study is that the scale-down model does not represent the</w:t>
      </w:r>
      <w:r>
        <w:t xml:space="preserve"> </w:t>
      </w:r>
      <w:r>
        <w:t xml:space="preserve">commercial vessel for the attributes being modelled, and dissolved CO2 is where that risk</w:t>
      </w:r>
      <w:r>
        <w:t xml:space="preserve"> </w:t>
      </w:r>
      <w:r>
        <w:t xml:space="preserve">concentrates, because CO2 accumulation depends on scale and a bench vessel strips it more</w:t>
      </w:r>
      <w:r>
        <w:t xml:space="preserve"> </w:t>
      </w:r>
      <w:r>
        <w:t xml:space="preserve">readily than a commercial one</w:t>
      </w:r>
      <w:r>
        <w:t xml:space="preserve"> </w:t>
      </w:r>
      <w:r>
        <w:t xml:space="preserve">(CMC Biotech Working Group 2009)</w:t>
      </w:r>
      <w:r>
        <w:t xml:space="preserve">. Including dissolved CO2 as a factor over</w:t>
      </w:r>
      <w:r>
        <w:t xml:space="preserve"> </w:t>
      </w:r>
      <w:r>
        <w:t xml:space="preserve">40–160 mmHg is the mitigation, since the range covers the levels a</w:t>
      </w:r>
      <w:r>
        <w:t xml:space="preserve"> </w:t>
      </w:r>
      <w:r>
        <w:t xml:space="preserve">commercial vessel reaches whether or not the bench vessel reaches them by the same route.</w:t>
      </w:r>
    </w:p>
    <w:p>
      <w:pPr>
        <w:pStyle w:val="BodyText"/>
      </w:pPr>
      <w:r>
        <w:t xml:space="preserve">Material supply is the second risk. Using one lot of medium and one lot of feed across the</w:t>
      </w:r>
      <w:r>
        <w:t xml:space="preserve"> </w:t>
      </w:r>
      <w:r>
        <w:t xml:space="preserve">campaign keeps lot variation out of the model, and it also means the study says nothing</w:t>
      </w:r>
      <w:r>
        <w:t xml:space="preserve"> </w:t>
      </w:r>
      <w:r>
        <w:t xml:space="preserve">about lot variation. That variation is handled by the incoming material specification and</w:t>
      </w:r>
      <w:r>
        <w:t xml:space="preserve"> </w:t>
      </w:r>
      <w:r>
        <w:t xml:space="preserve">by SOP-2004, and not by this study.</w:t>
      </w:r>
    </w:p>
    <w:p>
      <w:pPr>
        <w:pStyle w:val="BodyText"/>
      </w:pPr>
      <w:r>
        <w:t xml:space="preserve">Assay variability is the third risk. Where an effect is small relative to the precision of</w:t>
      </w:r>
      <w:r>
        <w:t xml:space="preserve"> </w:t>
      </w:r>
      <w:r>
        <w:t xml:space="preserve">the method, PCR-003 will attribute the variability to the assay and will hedge the</w:t>
      </w:r>
      <w:r>
        <w:t xml:space="preserve"> </w:t>
      </w:r>
      <w:r>
        <w:t xml:space="preserve">conclusion accordingly. That variability is estimated from the centre-point replicates,</w:t>
      </w:r>
      <w:r>
        <w:t xml:space="preserve"> </w:t>
      </w:r>
      <w:r>
        <w:t xml:space="preserve">which give the combined process and assay term such a judgement needs.</w:t>
      </w:r>
    </w:p>
    <w:p>
      <w:pPr>
        <w:pStyle w:val="BodyText"/>
      </w:pPr>
      <w:r>
        <w:t xml:space="preserve">Three assumptions are open to challenge and are stated here for that reason. Three-factor</w:t>
      </w:r>
      <w:r>
        <w:t xml:space="preserve"> </w:t>
      </w:r>
      <w:r>
        <w:t xml:space="preserve">and higher interactions are assumed negligible in the screening design. The model fitted to</w:t>
      </w:r>
      <w:r>
        <w:t xml:space="preserve"> </w:t>
      </w:r>
      <w:r>
        <w:t xml:space="preserve">the response-surface design is assumed to hold across the whole characterization region,</w:t>
      </w:r>
      <w:r>
        <w:t xml:space="preserve"> </w:t>
      </w:r>
      <w:r>
        <w:t xml:space="preserve">which the lack-of-fit test examines and cannot prove. Finally, the platform mechanisms in</w:t>
      </w:r>
      <w:r>
        <w:t xml:space="preserve"> </w:t>
      </w:r>
      <w:r>
        <w:t xml:space="preserve">§4.1 are assumed to apply to A-Mab, and the study confirms or refutes them for each of the five</w:t>
      </w:r>
      <w:r>
        <w:t xml:space="preserve"> </w:t>
      </w:r>
      <w:r>
        <w:t xml:space="preserve">modelled attributes.</w:t>
      </w:r>
    </w:p>
    <w:bookmarkEnd w:id="40"/>
    <w:bookmarkStart w:id="4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once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have approved it. Execution</w:t>
      </w:r>
      <w:r>
        <w:t xml:space="preserve"> </w:t>
      </w:r>
      <w:r>
        <w:t xml:space="preserve">begins after that approval and after the scale-down model qualification report is approved.</w:t>
      </w:r>
      <w:r>
        <w:t xml:space="preserve"> </w:t>
      </w:r>
      <w:r>
        <w:t xml:space="preserve">Any change before execution is complete will be issued as a revision of this plan and</w:t>
      </w:r>
      <w:r>
        <w:t xml:space="preserve"> </w:t>
      </w:r>
      <w:r>
        <w:t xml:space="preserve">approved by the same functions.</w:t>
      </w:r>
    </w:p>
    <w:bookmarkEnd w:id="41"/>
    <w:bookmarkStart w:id="48" w:name="references"/>
    <w:p>
      <w:pPr>
        <w:pStyle w:val="Heading1"/>
      </w:pPr>
      <w:r>
        <w:t xml:space="preserve">References</w:t>
      </w:r>
    </w:p>
    <w:bookmarkStart w:id="47" w:name="refs"/>
    <w:bookmarkStart w:id="4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2"/>
    <w:bookmarkStart w:id="4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3"/>
    <w:bookmarkStart w:id="4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4"/>
    <w:bookmarkStart w:id="4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5"/>
    <w:bookmarkStart w:id="4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6"/>
    <w:bookmarkEnd w:id="47"/>
    <w:p>
      <w:r>
        <w:br w:type="page"/>
      </w:r>
    </w:p>
    <w:bookmarkEnd w:id="48"/>
    <w:bookmarkStart w:id="50" w:name="X7149527b81b82ac7e9fc876cc411d0dd5d45eb6"/>
    <w:p>
      <w:pPr>
        <w:pStyle w:val="Heading1"/>
      </w:pPr>
      <w:r>
        <w:t xml:space="preserve">Appendix A — Planned screening design matrix</w:t>
      </w:r>
    </w:p>
    <w:p>
      <w:pPr>
        <w:pStyle w:val="FirstParagraph"/>
      </w:pPr>
      <w:r>
        <w:t xml:space="preserve">The planned screening matrix is given in</w:t>
      </w:r>
      <w:r>
        <w:t xml:space="preserve"> </w:t>
      </w:r>
      <w:hyperlink w:anchor="tbl-scr">
        <w:r>
          <w:rPr>
            <w:rStyle w:val="Hyperlink"/>
          </w:rPr>
          <w:t xml:space="preserve">Table 7</w:t>
        </w:r>
      </w:hyperlink>
      <w:r>
        <w:t xml:space="preserve">, in coded form. The letter codes are</w:t>
      </w:r>
      <w:r>
        <w:t xml:space="preserve"> </w:t>
      </w:r>
      <w:r>
        <w:t xml:space="preserve">those of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, and the coded levels −1, 0 and +1 correspond to the low edge, the</w:t>
      </w:r>
      <w:r>
        <w:t xml:space="preserve"> </w:t>
      </w:r>
      <w:r>
        <w:t xml:space="preserve">set-point and the high edge of each characterization range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Response columns</w:t>
      </w:r>
      <w:r>
        <w:t xml:space="preserve"> </w:t>
      </w:r>
      <w:r>
        <w:t xml:space="preserve">are absent because no run has been executed.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screening design matrix, coded.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bookmarkEnd w:id="50"/>
    <w:bookmarkStart w:id="52" w:name="Xd035249cb2928fc67e6106bc8a61a8b12039d8a"/>
    <w:p>
      <w:pPr>
        <w:pStyle w:val="Heading1"/>
      </w:pPr>
      <w:r>
        <w:t xml:space="preserve">Appendix B — Planned response-surface design matrix</w:t>
      </w:r>
    </w:p>
    <w:p>
      <w:pPr>
        <w:pStyle w:val="FirstParagraph"/>
      </w:pPr>
      <w:r>
        <w:t xml:space="preserve">The planned response-surface matrix is given in</w:t>
      </w:r>
      <w:r>
        <w:t xml:space="preserve"> </w:t>
      </w:r>
      <w:hyperlink w:anchor="tbl-rsm">
        <w:r>
          <w:rPr>
            <w:rStyle w:val="Hyperlink"/>
          </w:rPr>
          <w:t xml:space="preserve">Table 8</w:t>
        </w:r>
      </w:hyperlink>
      <w:r>
        <w:t xml:space="preserve">, in the same coded form. The</w:t>
      </w:r>
      <w:r>
        <w:t xml:space="preserve"> </w:t>
      </w:r>
      <w:r>
        <w:t xml:space="preserve">factorial runs occupy the corners of the cube, the axial runs sit at the centre of each</w:t>
      </w:r>
      <w:r>
        <w:t xml:space="preserve"> </w:t>
      </w:r>
      <w:r>
        <w:t xml:space="preserve">face and the centre points sit at the set-point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Planned response-surface design matrix, coded.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1"/>
          <w:p/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2026-08-18T05:22:13Z</dcterms:created>
  <dcterms:modified xsi:type="dcterms:W3CDTF">2026-08-18T05:22:13Z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PCP-003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