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Production Bioreactor (Step 3) — PCP-003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p>
      <w:r>
        <w:br w:type="page"/>
      </w:r>
    </w:p>
    <w:bookmarkStart w:id="20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Process Characterization Plan (</w:t>
      </w:r>
      <w:r>
        <w:rPr>
          <w:b/>
          <w:bCs/>
        </w:rPr>
        <w:t xml:space="preserve">PCP-003</w:t>
      </w:r>
      <w:r>
        <w:t xml:space="preserve">) defines the Stage 1 (Process</w:t>
      </w:r>
      <w:r>
        <w:t xml:space="preserve"> </w:t>
      </w:r>
      <w:r>
        <w:t xml:space="preserve">Design) characterization of the</w:t>
      </w:r>
      <w:r>
        <w:t xml:space="preserve"> </w:t>
      </w:r>
      <w:r>
        <w:rPr>
          <w:b/>
          <w:bCs/>
        </w:rPr>
        <w:t xml:space="preserve">A-Mab production bioreactor (Step 3)</w:t>
      </w:r>
      <w:r>
        <w:t xml:space="preserve">, the</w:t>
      </w:r>
      <w:r>
        <w:t xml:space="preserve"> </w:t>
      </w:r>
      <w:r>
        <w:t xml:space="preserve">fed-batch cell-culture operation that establishes the glycosylation,</w:t>
      </w:r>
      <w:r>
        <w:t xml:space="preserve"> </w:t>
      </w:r>
      <w:r>
        <w:t xml:space="preserve">charge-variant and initial size-variant and process-impurity profile of the</w:t>
      </w:r>
      <w:r>
        <w:t xml:space="preserve"> </w:t>
      </w:r>
      <w:r>
        <w:t xml:space="preserve">drug substance. The plan specifies the quality attributes in scope, the process</w:t>
      </w:r>
      <w:r>
        <w:t xml:space="preserve"> </w:t>
      </w:r>
      <w:r>
        <w:t xml:space="preserve">parameters and ranges to be studied, the experimental designs, the analytical</w:t>
      </w:r>
      <w:r>
        <w:t xml:space="preserve"> </w:t>
      </w:r>
      <w:r>
        <w:t xml:space="preserve">methods, and the acceptance and decision criteria by which each parameter will be</w:t>
      </w:r>
      <w:r>
        <w:t xml:space="preserve"> </w:t>
      </w:r>
      <w:r>
        <w:t xml:space="preserve">classified and a design space established.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15,000-L commercial-scale</w:t>
      </w:r>
      <w:r>
        <w:t xml:space="preserve"> </w:t>
      </w:r>
      <w:r>
        <w:t xml:space="preserve">production bioreactor, characterized on a qualified 2 L scale-down model (SDM).</w:t>
      </w:r>
      <w:r>
        <w:t xml:space="preserve"> </w:t>
      </w:r>
      <w:r>
        <w:t xml:space="preserve">Seed-train expansion (Steps 1–2) and harvest (Step 4) are addressed only where</w:t>
      </w:r>
      <w:r>
        <w:t xml:space="preserve"> </w:t>
      </w:r>
      <w:r>
        <w:t xml:space="preserve">they affect the production culture; their characterization is out of scope of</w:t>
      </w:r>
      <w:r>
        <w:t xml:space="preserve"> </w:t>
      </w:r>
      <w:r>
        <w:t xml:space="preserve">this plan. This plan governs execution only — the results are reported in the</w:t>
      </w:r>
      <w:r>
        <w:t xml:space="preserve"> </w:t>
      </w:r>
      <w:r>
        <w:t xml:space="preserve">paired</w:t>
      </w:r>
      <w:r>
        <w:t xml:space="preserve"> </w:t>
      </w:r>
      <w:r>
        <w:rPr>
          <w:b/>
          <w:bCs/>
        </w:rPr>
        <w:t xml:space="preserve">Process Characterization Report (PCR-003)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Basis.</w:t>
      </w:r>
      <w:r>
        <w:t xml:space="preserve"> </w:t>
      </w:r>
      <w:r>
        <w:t xml:space="preserve">The unit-operation model, quality-attribute framework and risk</w:t>
      </w:r>
      <w:r>
        <w:t xml:space="preserve"> </w:t>
      </w:r>
      <w:r>
        <w:t xml:space="preserve">methodology follow the A-Mab case study</w:t>
      </w:r>
      <w:r>
        <w:t xml:space="preserve"> </w:t>
      </w:r>
      <w:r>
        <w:t xml:space="preserve">(CMC Biotech Working Group 2009)</w:t>
      </w:r>
      <w:r>
        <w:t xml:space="preserve">; the Stage 1 approach and</w:t>
      </w:r>
      <w:r>
        <w:t xml:space="preserve"> </w:t>
      </w:r>
      <w:r>
        <w:t xml:space="preserve">report structure follow PDA Technical Report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</w:t>
      </w:r>
      <w:r>
        <w:t xml:space="preserve"> </w:t>
      </w:r>
      <w:r>
        <w:t xml:space="preserve">Practice Guide</w:t>
      </w:r>
      <w:r>
        <w:t xml:space="preserve"> </w:t>
      </w:r>
      <w:r>
        <w:t xml:space="preserve">(International Society for Pharmaceutical Engineering 2023)</w:t>
      </w:r>
      <w:r>
        <w:t xml:space="preserve">; the Quality-by-Design framework follows ICH Q8,</w:t>
      </w:r>
      <w:r>
        <w:t xml:space="preserve"> </w:t>
      </w:r>
      <w:r>
        <w:t xml:space="preserve">Q9 and Q11</w:t>
      </w:r>
      <w:r>
        <w:t xml:space="preserve"> </w:t>
      </w:r>
      <w:r>
        <w:t xml:space="preserve">(International Council for Harmonisation 2009, 2023, 2012)</w:t>
      </w:r>
      <w:r>
        <w:t xml:space="preserve">.</w:t>
      </w:r>
    </w:p>
    <w:bookmarkEnd w:id="20"/>
    <w:bookmarkStart w:id="23" w:name="related-documents"/>
    <w:p>
      <w:pPr>
        <w:pStyle w:val="Heading1"/>
      </w:pPr>
      <w:r>
        <w:t xml:space="preserve">2. Related documents</w:t>
      </w:r>
    </w:p>
    <w:p>
      <w:pPr>
        <w:pStyle w:val="FirstParagraph"/>
      </w:pPr>
      <w:r>
        <w:t xml:space="preserve">This plan is executed under the master documents below and is paired with its</w:t>
      </w:r>
      <w:r>
        <w:t xml:space="preserve"> </w:t>
      </w:r>
      <w:r>
        <w:t xml:space="preserve">report; the full package is cross-referenced for traceability.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el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Related documents in the A-Mab process-characterization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The governing procedures and validated analytical methods referenced by this</w:t>
      </w:r>
      <w:r>
        <w:t xml:space="preserve"> </w:t>
      </w:r>
      <w:r>
        <w:t xml:space="preserve">plan are listed in</w:t>
      </w:r>
      <w:r>
        <w:t xml:space="preserve"> </w:t>
      </w:r>
      <w:hyperlink w:anchor="tbl-sop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(numbers are placeholders in this synthetic set).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sop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Referenced standard operating procedures and analytical method validations.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2"/>
          <w:p/>
        </w:tc>
      </w:tr>
    </w:tbl>
    <w:bookmarkEnd w:id="23"/>
    <w:bookmarkStart w:id="28" w:name="unit-operation-description"/>
    <w:p>
      <w:pPr>
        <w:pStyle w:val="Heading1"/>
      </w:pPr>
      <w:r>
        <w:t xml:space="preserve">3. Unit-operation description</w:t>
      </w:r>
    </w:p>
    <w:p>
      <w:pPr>
        <w:pStyle w:val="FirstParagraph"/>
      </w:pPr>
      <w:r>
        <w:t xml:space="preserve">The production bioreactor is a fed-batch mammalian cell culture operated at</w:t>
      </w:r>
      <w:r>
        <w:t xml:space="preserve"> </w:t>
      </w:r>
      <w:r>
        <w:t xml:space="preserve">15,000 L working volume. It is the only</w:t>
      </w:r>
      <w:r>
        <w:t xml:space="preserve"> </w:t>
      </w:r>
      <w:r>
        <w:t xml:space="preserve">upstream operation that forms product-quality CQAs and therefore the only</w:t>
      </w:r>
      <w:r>
        <w:t xml:space="preserve"> </w:t>
      </w:r>
      <w:r>
        <w:t xml:space="preserve">upstream step used to define the upstream design space</w:t>
      </w:r>
      <w:r>
        <w:t xml:space="preserve"> </w:t>
      </w:r>
      <w:r>
        <w:t xml:space="preserve">(CMC Biotech Working Group 2009)</w:t>
      </w:r>
      <w:r>
        <w:t xml:space="preserve">; the seed</w:t>
      </w:r>
      <w:r>
        <w:t xml:space="preserve"> </w:t>
      </w:r>
      <w:r>
        <w:t xml:space="preserve">expansion and harvest steps affect titer and process consistency but not product</w:t>
      </w:r>
      <w:r>
        <w:t xml:space="preserve"> </w:t>
      </w:r>
      <w:r>
        <w:t xml:space="preserve">quality. Product quality established here — N-glycosylation (afucosylation, high</w:t>
      </w:r>
      <w:r>
        <w:t xml:space="preserve"> </w:t>
      </w:r>
      <w:r>
        <w:t xml:space="preserve">mannose, galactosylation), charge variants, aggregate, and the host-cell protein</w:t>
      </w:r>
      <w:r>
        <w:t xml:space="preserve"> </w:t>
      </w:r>
      <w:r>
        <w:t xml:space="preserve">(HCP) and DNA impurity load — is the input to the purification train</w:t>
      </w:r>
      <w:r>
        <w:t xml:space="preserve"> </w:t>
      </w:r>
      <w:r>
        <w:t xml:space="preserve">(</w:t>
      </w:r>
      <w:hyperlink w:anchor="fig-flow-ptp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flow-ptp"/>
          <w:p>
            <w:pPr>
              <w:pStyle w:val="Compact"/>
              <w:jc w:val="center"/>
            </w:pPr>
            <w:r>
              <w:drawing>
                <wp:inline>
                  <wp:extent cx="5334000" cy="1605814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process_flow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58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A-Mab drug-substance process flow (Steps 3–10); the production bioreactor (Step 3) forms the product-quality attributes characterized in this plan.</w:t>
            </w:r>
          </w:p>
          <w:bookmarkEnd w:id="27"/>
        </w:tc>
      </w:tr>
    </w:tbl>
    <w:bookmarkEnd w:id="28"/>
    <w:bookmarkStart w:id="30" w:name="quality-attributes-in-scope"/>
    <w:p>
      <w:pPr>
        <w:pStyle w:val="Heading1"/>
      </w:pPr>
      <w:r>
        <w:t xml:space="preserve">4. Quality attributes in scope</w:t>
      </w:r>
    </w:p>
    <w:p>
      <w:pPr>
        <w:pStyle w:val="FirstParagraph"/>
      </w:pPr>
      <w:r>
        <w:t xml:space="preserve">The characterization targets the CQAs that are set or principally controlled by</w:t>
      </w:r>
      <w:r>
        <w:t xml:space="preserve"> </w:t>
      </w:r>
      <w:r>
        <w:t xml:space="preserve">the production bioreactor (</w:t>
      </w:r>
      <w:hyperlink w:anchor="tbl-cqa-ptp">
        <w:r>
          <w:rPr>
            <w:rStyle w:val="Hyperlink"/>
          </w:rPr>
          <w:t xml:space="preserve">Table 3</w:t>
        </w:r>
      </w:hyperlink>
      <w:r>
        <w:t xml:space="preserve">). Criticality is assessed on the A-Mab</w:t>
      </w:r>
      <w:r>
        <w:t xml:space="preserve"> </w:t>
      </w:r>
      <w:r>
        <w:t xml:space="preserve">continuum using Tool #1 (Risk Score = Impact × Uncertainty); attributes rated</w:t>
      </w:r>
      <w:r>
        <w:t xml:space="preserve"> </w:t>
      </w:r>
      <w:r>
        <w:t xml:space="preserve">High (H) or 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2009; International Council for Harmonisation 2023)</w:t>
      </w:r>
      <w:r>
        <w:t xml:space="preserve">.</w:t>
      </w:r>
      <w:r>
        <w:t xml:space="preserve"> </w:t>
      </w:r>
      <w:r>
        <w:t xml:space="preserve">Acceptance criteria are the drug-substance ranges carried from the CQA</w:t>
      </w:r>
      <w:r>
        <w:t xml:space="preserve"> </w:t>
      </w:r>
      <w:r>
        <w:t xml:space="preserve">assessment and are the pass/fail basis for the study responses.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cqa-ptp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CQAs in scope for the production-bioreactor characterization, with acceptance criteria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The study responses measured for these CQAs are afucosylation, galactosylation,</w:t>
      </w:r>
      <w:r>
        <w:t xml:space="preserve"> </w:t>
      </w:r>
      <w:r>
        <w:t xml:space="preserve">high mannose and acidic charge variants (released assays), and aggregate (SEC);</w:t>
      </w:r>
      <w:r>
        <w:t xml:space="preserve"> </w:t>
      </w:r>
      <w:r>
        <w:t xml:space="preserve">the harvest HCP and DNA impurity load is followed as a performance response since</w:t>
      </w:r>
      <w:r>
        <w:t xml:space="preserve"> </w:t>
      </w:r>
      <w:r>
        <w:t xml:space="preserve">it is cleared downstream.</w:t>
      </w:r>
    </w:p>
    <w:bookmarkEnd w:id="30"/>
    <w:bookmarkStart w:id="32" w:name="Xb97e04fb2215171ab355b710407dbd7e42d8de8"/>
    <w:p>
      <w:pPr>
        <w:pStyle w:val="Heading1"/>
      </w:pPr>
      <w:r>
        <w:t xml:space="preserve">5. Parameters and ranges to be characterized</w:t>
      </w:r>
    </w:p>
    <w:p>
      <w:pPr>
        <w:pStyle w:val="FirstParagraph"/>
      </w:pPr>
      <w:r>
        <w:t xml:space="preserve">Nine process parameters are in scope (</w:t>
      </w:r>
      <w:hyperlink w:anchor="tbl-param-ptp">
        <w:r>
          <w:rPr>
            <w:rStyle w:val="Hyperlink"/>
          </w:rPr>
          <w:t xml:space="preserve">Table 4</w:t>
        </w:r>
      </w:hyperlink>
      <w:r>
        <w:t xml:space="preserve">). Each is studied across the</w:t>
      </w:r>
      <w:r>
        <w:t xml:space="preserve"> </w:t>
      </w:r>
      <w:r>
        <w:t xml:space="preserve">range shown (</w:t>
      </w:r>
      <w:r>
        <w:t xml:space="preserve">“Range studied”</w:t>
      </w:r>
      <w:r>
        <w:t xml:space="preserve">), which becomes the basis for the proven acceptable</w:t>
      </w:r>
      <w:r>
        <w:t xml:space="preserve"> </w:t>
      </w:r>
      <w:r>
        <w:t xml:space="preserve">range (PAR); the normal operating range (NOR) is the tighter range at which the</w:t>
      </w:r>
      <w:r>
        <w:t xml:space="preserve"> </w:t>
      </w:r>
      <w:r>
        <w:t xml:space="preserve">parameter will be controlled in routine manufacturing. The study type</w:t>
      </w:r>
      <w:r>
        <w:t xml:space="preserve"> </w:t>
      </w:r>
      <w:r>
        <w:t xml:space="preserve">(multivariate vs univariate) is assigned by the risk-ranking-and-filtering screen</w:t>
      </w:r>
      <w:r>
        <w:t xml:space="preserve"> </w:t>
      </w:r>
      <w:r>
        <w:t xml:space="preserve">of the Pre-Characterization Process Risk Assessment (</w:t>
      </w:r>
      <w:r>
        <w:rPr>
          <w:b/>
          <w:bCs/>
        </w:rPr>
        <w:t xml:space="preserve">RA-001</w:t>
      </w:r>
      <w:r>
        <w:t xml:space="preserve">): parameters with</w:t>
      </w:r>
      <w:r>
        <w:t xml:space="preserve"> </w:t>
      </w:r>
      <w:r>
        <w:t xml:space="preserve">a credible main-effect and interaction risk to CQAs are studied multivariately;</w:t>
      </w:r>
      <w:r>
        <w:t xml:space="preserve"> </w:t>
      </w:r>
      <w:r>
        <w:t xml:space="preserve">parameters expected to affect only performance are studied univariately or held</w:t>
      </w:r>
      <w:r>
        <w:t xml:space="preserve"> </w:t>
      </w:r>
      <w:r>
        <w:t xml:space="preserve">at their set-point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param-ptp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Production-bioreactor process parameters, set-points, characterization ranges and study type. Classification is an output of the study and is reported in PCR-003.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0"/>
              <w:gridCol w:w="1072"/>
              <w:gridCol w:w="1072"/>
              <w:gridCol w:w="1402"/>
              <w:gridCol w:w="90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Culture pH, temperature, dissolved CO₂, osmolality and culture duration are</w:t>
      </w:r>
      <w:r>
        <w:t xml:space="preserve"> </w:t>
      </w:r>
      <w:r>
        <w:t xml:space="preserve">carried into the multivariate design as the parameters with the greatest</w:t>
      </w:r>
      <w:r>
        <w:t xml:space="preserve"> </w:t>
      </w:r>
      <w:r>
        <w:t xml:space="preserve">prior-knowledge risk to the glycan and charge-variant CQAs. Dissolved oxygen,</w:t>
      </w:r>
      <w:r>
        <w:t xml:space="preserve"> </w:t>
      </w:r>
      <w:r>
        <w:t xml:space="preserve">initial viable cell concentration and nutrient feed-1 volume are assessed for</w:t>
      </w:r>
      <w:r>
        <w:t xml:space="preserve"> </w:t>
      </w:r>
      <w:r>
        <w:t xml:space="preserve">their effect on process performance (peak viable cell density, titer, viability);</w:t>
      </w:r>
      <w:r>
        <w:t xml:space="preserve"> </w:t>
      </w:r>
      <w:r>
        <w:t xml:space="preserve">basal medium concentration is studied over a wide range as a general parameter.</w:t>
      </w:r>
    </w:p>
    <w:bookmarkEnd w:id="32"/>
    <w:bookmarkStart w:id="33" w:name="study-design"/>
    <w:p>
      <w:pPr>
        <w:pStyle w:val="Heading1"/>
      </w:pPr>
      <w:r>
        <w:t xml:space="preserve">6. Study design</w:t>
      </w:r>
    </w:p>
    <w:p>
      <w:pPr>
        <w:pStyle w:val="FirstParagraph"/>
      </w:pPr>
      <w:r>
        <w:t xml:space="preserve">Characterization uses a sequential design-of-experiments (DoE) strategy executed</w:t>
      </w:r>
      <w:r>
        <w:t xml:space="preserve"> </w:t>
      </w:r>
      <w:r>
        <w:t xml:space="preserve">on the qualified 2 L SDM under</w:t>
      </w:r>
      <w:r>
        <w:t xml:space="preserve"> </w:t>
      </w:r>
      <w:r>
        <w:rPr>
          <w:b/>
          <w:bCs/>
        </w:rPr>
        <w:t xml:space="preserve">SOP-1002</w:t>
      </w:r>
      <w:r>
        <w:t xml:space="preserve">, with the SDM qualified against</w:t>
      </w:r>
      <w:r>
        <w:t xml:space="preserve"> </w:t>
      </w:r>
      <w:r>
        <w:t xml:space="preserve">at-scale reference data under</w:t>
      </w:r>
      <w:r>
        <w:t xml:space="preserve"> </w:t>
      </w:r>
      <w:r>
        <w:rPr>
          <w:b/>
          <w:bCs/>
        </w:rPr>
        <w:t xml:space="preserve">SOP-1001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Screening design</w:t>
      </w:r>
      <w:r>
        <w:t xml:space="preserve"> </w:t>
      </w:r>
      <w:r>
        <w:t xml:space="preserve">— a resolution-V two-level fractional factorial in the</w:t>
      </w:r>
      <w:r>
        <w:t xml:space="preserve"> </w:t>
      </w:r>
      <w:r>
        <w:t xml:space="preserve">five multivariate factors (culture pH, temperature, dissolved CO₂, osmolality</w:t>
      </w:r>
      <w:r>
        <w:t xml:space="preserve"> </w:t>
      </w:r>
      <w:r>
        <w:t xml:space="preserve">and culture duration) with centre points,</w:t>
      </w:r>
      <w:r>
        <w:t xml:space="preserve"> </w:t>
      </w:r>
      <w:r>
        <w:rPr>
          <w:b/>
          <w:bCs/>
        </w:rPr>
        <w:t xml:space="preserve">19 runs total</w:t>
      </w:r>
      <w:r>
        <w:t xml:space="preserve">,</w:t>
      </w:r>
      <w:r>
        <w:t xml:space="preserve"> </w:t>
      </w:r>
      <w:r>
        <w:t xml:space="preserve">to identify the parameters and interactions with significant effects on the</w:t>
      </w:r>
      <w:r>
        <w:t xml:space="preserve"> </w:t>
      </w:r>
      <w:r>
        <w:t xml:space="preserve">glycan, charge-variant and aggregate responses.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Response-surface design</w:t>
      </w:r>
      <w:r>
        <w:t xml:space="preserve"> </w:t>
      </w:r>
      <w:r>
        <w:t xml:space="preserve">— a face-centred central-composite design in the</w:t>
      </w:r>
      <w:r>
        <w:t xml:space="preserve"> </w:t>
      </w:r>
      <w:r>
        <w:t xml:space="preserve">dominant factors carried forward from screening (culture pH, temperature,</w:t>
      </w:r>
      <w:r>
        <w:t xml:space="preserve"> </w:t>
      </w:r>
      <w:r>
        <w:t xml:space="preserve">culture duration and dissolved CO₂),</w:t>
      </w:r>
      <w:r>
        <w:t xml:space="preserve"> </w:t>
      </w:r>
      <w:r>
        <w:rPr>
          <w:b/>
          <w:bCs/>
        </w:rPr>
        <w:t xml:space="preserve">28 runs total</w:t>
      </w:r>
      <w:r>
        <w:t xml:space="preserve">, to</w:t>
      </w:r>
      <w:r>
        <w:t xml:space="preserve"> </w:t>
      </w:r>
      <w:r>
        <w:t xml:space="preserve">quantify main effects, two-factor interactions and curvature and to define the</w:t>
      </w:r>
      <w:r>
        <w:t xml:space="preserve"> </w:t>
      </w:r>
      <w:r>
        <w:t xml:space="preserve">multivariate design space.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Univariate assessment</w:t>
      </w:r>
      <w:r>
        <w:t xml:space="preserve"> </w:t>
      </w:r>
      <w:r>
        <w:t xml:space="preserve">— initial viable cell concentration is evaluated one</w:t>
      </w:r>
      <w:r>
        <w:t xml:space="preserve"> </w:t>
      </w:r>
      <w:r>
        <w:t xml:space="preserve">factor at a time for its effect on process performance.</w:t>
      </w:r>
    </w:p>
    <w:p>
      <w:pPr>
        <w:pStyle w:val="FirstParagraph"/>
      </w:pPr>
      <w:r>
        <w:t xml:space="preserve">All runs are executed on the SDM at the commercial working volume equivalent and</w:t>
      </w:r>
      <w:r>
        <w:t xml:space="preserve"> </w:t>
      </w:r>
      <w:r>
        <w:t xml:space="preserve">harvested on the nominal culture-duration criterion. Responses are measured by</w:t>
      </w:r>
      <w:r>
        <w:t xml:space="preserve"> </w:t>
      </w:r>
      <w:r>
        <w:t xml:space="preserve">the validated methods in</w:t>
      </w:r>
      <w:r>
        <w:t xml:space="preserve"> </w:t>
      </w:r>
      <w:hyperlink w:anchor="tbl-sop">
        <w:r>
          <w:rPr>
            <w:rStyle w:val="Hyperlink"/>
          </w:rPr>
          <w:t xml:space="preserve">Table 2</w:t>
        </w:r>
      </w:hyperlink>
      <w:r>
        <w:t xml:space="preserve">: released N-glycan map (afucosylation, high</w:t>
      </w:r>
      <w:r>
        <w:t xml:space="preserve"> </w:t>
      </w:r>
      <w:r>
        <w:t xml:space="preserve">mannose, galactosylation) under</w:t>
      </w:r>
      <w:r>
        <w:t xml:space="preserve"> </w:t>
      </w:r>
      <w:r>
        <w:rPr>
          <w:b/>
          <w:bCs/>
        </w:rPr>
        <w:t xml:space="preserve">AMV-3010</w:t>
      </w:r>
      <w:r>
        <w:t xml:space="preserve">, charge variants (acidic variants)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AMV-3013</w:t>
      </w:r>
      <w:r>
        <w:t xml:space="preserve">, aggregate (SEC) under</w:t>
      </w:r>
      <w:r>
        <w:t xml:space="preserve"> </w:t>
      </w:r>
      <w:r>
        <w:rPr>
          <w:b/>
          <w:bCs/>
        </w:rPr>
        <w:t xml:space="preserve">AMV-3011</w:t>
      </w:r>
      <w:r>
        <w:t xml:space="preserve">, and the harvest HCP and</w:t>
      </w:r>
      <w:r>
        <w:t xml:space="preserve"> </w:t>
      </w:r>
      <w:r>
        <w:t xml:space="preserve">residual-DNA load under</w:t>
      </w:r>
      <w:r>
        <w:t xml:space="preserve"> </w:t>
      </w:r>
      <w:r>
        <w:rPr>
          <w:b/>
          <w:bCs/>
        </w:rPr>
        <w:t xml:space="preserve">AMV-3012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AMV-3014</w:t>
      </w:r>
      <w:r>
        <w:t xml:space="preserve">.</w:t>
      </w:r>
    </w:p>
    <w:bookmarkEnd w:id="33"/>
    <w:bookmarkStart w:id="34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is acceptable when the fitted response-surface models are adequate</w:t>
      </w:r>
      <w:r>
        <w:t xml:space="preserve"> </w:t>
      </w:r>
      <w:r>
        <w:t xml:space="preserve">(coefficient of determination and residual diagnostics per</w:t>
      </w:r>
      <w:r>
        <w:t xml:space="preserve"> </w:t>
      </w:r>
      <w:r>
        <w:rPr>
          <w:b/>
          <w:bCs/>
        </w:rPr>
        <w:t xml:space="preserve">SOP-1002</w:t>
      </w:r>
      <w:r>
        <w:t xml:space="preserve">) and the</w:t>
      </w:r>
      <w:r>
        <w:t xml:space="preserve"> </w:t>
      </w:r>
      <w:r>
        <w:t xml:space="preserve">design space satisfies every in-scope CQA simultaneously at the set-point and</w:t>
      </w:r>
      <w:r>
        <w:t xml:space="preserve"> </w:t>
      </w:r>
      <w:r>
        <w:t xml:space="preserve">across the NOR. Each parameter is then classified per the A-Mab continuum</w:t>
      </w:r>
      <w:r>
        <w:t xml:space="preserve"> </w:t>
      </w:r>
      <w:r>
        <w:t xml:space="preserve">(CMC Biotech Working Group 2009)</w:t>
      </w:r>
      <w:r>
        <w:t xml:space="preserve">, consistent with the rule applied in the post-characterization risk</w:t>
      </w:r>
      <w:r>
        <w:t xml:space="preserve"> </w:t>
      </w:r>
      <w:r>
        <w:t xml:space="preserve">assessment:</w:t>
      </w:r>
    </w:p>
    <w:p>
      <w:pPr>
        <w:pStyle w:val="Compact"/>
        <w:numPr>
          <w:ilvl w:val="0"/>
          <w:numId w:val="1002"/>
        </w:numPr>
      </w:pPr>
      <w:r>
        <w:t xml:space="preserve">A parameter whose variability significantly impacts a CQA is a</w:t>
      </w:r>
      <w:r>
        <w:t xml:space="preserve"> </w:t>
      </w:r>
      <w:r>
        <w:rPr>
          <w:b/>
          <w:bCs/>
        </w:rPr>
        <w:t xml:space="preserve">critical</w:t>
      </w:r>
      <w:r>
        <w:rPr>
          <w:b/>
          <w:bCs/>
        </w:rPr>
        <w:t xml:space="preserve"> </w:t>
      </w:r>
      <w:r>
        <w:rPr>
          <w:b/>
          <w:bCs/>
        </w:rPr>
        <w:t xml:space="preserve">process parameter (CPP)</w:t>
      </w:r>
      <w:r>
        <w:t xml:space="preserve">; where the impact is reliably controlled within the</w:t>
      </w:r>
      <w:r>
        <w:t xml:space="preserve"> </w:t>
      </w:r>
      <w:r>
        <w:t xml:space="preserve">design space (low risk of leaving it) the parameter is a</w:t>
      </w:r>
      <w:r>
        <w:t xml:space="preserve"> </w:t>
      </w:r>
      <w:r>
        <w:rPr>
          <w:b/>
          <w:bCs/>
        </w:rPr>
        <w:t xml:space="preserve">well-controlled CPP</w:t>
      </w:r>
      <w:r>
        <w:rPr>
          <w:b/>
          <w:bCs/>
        </w:rPr>
        <w:t xml:space="preserve"> </w:t>
      </w:r>
      <w:r>
        <w:rPr>
          <w:b/>
          <w:bCs/>
        </w:rPr>
        <w:t xml:space="preserve">(WC-CPP)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parameter that does not significantly impact a CQA but affects process</w:t>
      </w:r>
      <w:r>
        <w:t xml:space="preserve"> </w:t>
      </w:r>
      <w:r>
        <w:t xml:space="preserve">performance or consistency is a</w:t>
      </w:r>
      <w:r>
        <w:t xml:space="preserve"> </w:t>
      </w:r>
      <w:r>
        <w:rPr>
          <w:b/>
          <w:bCs/>
        </w:rPr>
        <w:t xml:space="preserve">key process parameter (KPP)</w:t>
      </w:r>
      <w:r>
        <w:t xml:space="preserve">; otherwise it is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 process parameter (GPP)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Consistent with the FMEA convention, a parameter that affects a CQA with</w:t>
      </w:r>
      <w:r>
        <w:t xml:space="preserve"> </w:t>
      </w:r>
      <w:r>
        <w:t xml:space="preserve">Severity ≥ 8, or that carries an initial risk priority number &gt; 72, is</w:t>
      </w:r>
      <w:r>
        <w:t xml:space="preserve"> </w:t>
      </w:r>
      <w:r>
        <w:t xml:space="preserve">designated a CPP before mitigation by the control strategy.</w:t>
      </w:r>
    </w:p>
    <w:p>
      <w:pPr>
        <w:pStyle w:val="FirstParagraph"/>
      </w:pPr>
      <w:r>
        <w:t xml:space="preserve">The design space, parameter classification and the proven acceptable ranges</w:t>
      </w:r>
      <w:r>
        <w:t xml:space="preserve"> </w:t>
      </w:r>
      <w:r>
        <w:t xml:space="preserve">established here provide the justification for the Stage 2 (PPQ) operating ranges</w:t>
      </w:r>
      <w:r>
        <w:t xml:space="preserve"> </w:t>
      </w:r>
      <w:r>
        <w:t xml:space="preserve">and feed the overall control strategy.</w:t>
      </w:r>
    </w:p>
    <w:bookmarkEnd w:id="34"/>
    <w:bookmarkStart w:id="36" w:name="roles-and-responsibilities"/>
    <w:p>
      <w:pPr>
        <w:pStyle w:val="Heading1"/>
      </w:pPr>
      <w:r>
        <w:t xml:space="preserve">8. Roles and responsibilities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ole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Roles and responsibilities for the production-bioreactor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 the plan; design, execute and analyze the DoE; author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 released and in-process testing under the referenced AMV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the scale-down model; confirm commercial-scale representativeness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 the plan and the report; confirm parameter classifications</w:t>
                  </w:r>
                </w:p>
              </w:tc>
            </w:tr>
          </w:tbl>
          <w:bookmarkEnd w:id="35"/>
          <w:p/>
        </w:tc>
      </w:tr>
    </w:tbl>
    <w:bookmarkEnd w:id="36"/>
    <w:bookmarkStart w:id="37" w:name="deliverables"/>
    <w:p>
      <w:pPr>
        <w:pStyle w:val="Heading1"/>
      </w:pPr>
      <w:r>
        <w:t xml:space="preserve">9. Deliverables</w:t>
      </w:r>
    </w:p>
    <w:p>
      <w:pPr>
        <w:pStyle w:val="FirstParagraph"/>
      </w:pPr>
      <w:r>
        <w:t xml:space="preserve">The deliverable of this plan is the</w:t>
      </w:r>
      <w:r>
        <w:t xml:space="preserve"> </w:t>
      </w:r>
      <w:r>
        <w:rPr>
          <w:b/>
          <w:bCs/>
        </w:rPr>
        <w:t xml:space="preserve">Process Characterization Report (PCR-003)</w:t>
      </w:r>
      <w:r>
        <w:t xml:space="preserve">,</w:t>
      </w:r>
      <w:r>
        <w:t xml:space="preserve"> </w:t>
      </w:r>
      <w:r>
        <w:t xml:space="preserve">which reports the executed designs, the significant effects, the design space, the</w:t>
      </w:r>
      <w:r>
        <w:t xml:space="preserve"> </w:t>
      </w:r>
      <w:r>
        <w:t xml:space="preserve">parameter classification and the CQA outcomes. PCR-003 rolls up into the Process</w:t>
      </w:r>
      <w:r>
        <w:t xml:space="preserve"> </w:t>
      </w:r>
      <w:r>
        <w:t xml:space="preserve">Characterization Master Report (</w:t>
      </w:r>
      <w:r>
        <w:rPr>
          <w:b/>
          <w:bCs/>
        </w:rPr>
        <w:t xml:space="preserve">PCMR-001</w:t>
      </w:r>
      <w:r>
        <w:t xml:space="preserve">) and provides the parameter risk</w:t>
      </w:r>
      <w:r>
        <w:t xml:space="preserve"> </w:t>
      </w:r>
      <w:r>
        <w:t xml:space="preserve">basis for the post-characterization process risk assessment.</w:t>
      </w:r>
    </w:p>
    <w:bookmarkEnd w:id="37"/>
    <w:bookmarkStart w:id="39" w:name="approvals"/>
    <w:p>
      <w:pPr>
        <w:pStyle w:val="Heading1"/>
      </w:pPr>
      <w:r>
        <w:t xml:space="preserve">10. 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app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 —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 — 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 — 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 — 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38"/>
          <w:p/>
        </w:tc>
      </w:tr>
    </w:tbl>
    <w:bookmarkEnd w:id="39"/>
    <w:bookmarkStart w:id="47" w:name="references"/>
    <w:p>
      <w:pPr>
        <w:pStyle w:val="Heading1"/>
      </w:pPr>
      <w:r>
        <w:t xml:space="preserve">References</w:t>
      </w:r>
    </w:p>
    <w:bookmarkStart w:id="46" w:name="refs"/>
    <w:bookmarkStart w:id="40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t xml:space="preserve">“A-Mab: A Case Study in Bioprocess Development.”</w:t>
      </w:r>
      <w:r>
        <w:t xml:space="preserve"> </w:t>
      </w:r>
      <w:r>
        <w:t xml:space="preserve">CASSS.</w:t>
      </w:r>
    </w:p>
    <w:bookmarkEnd w:id="40"/>
    <w:bookmarkStart w:id="41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t xml:space="preserve">“ICH Q8(R2): Pharmaceutical Development.”</w:t>
      </w:r>
      <w:r>
        <w:t xml:space="preserve"> </w:t>
      </w:r>
      <w:r>
        <w:t xml:space="preserve">ICH.</w:t>
      </w:r>
    </w:p>
    <w:bookmarkEnd w:id="41"/>
    <w:bookmarkStart w:id="42" w:name="ref-ichq11"/>
    <w:p>
      <w:pPr>
        <w:pStyle w:val="Bibliography"/>
      </w:pPr>
      <w:r>
        <w:t xml:space="preserve">———. 2012.</w:t>
      </w:r>
      <w:r>
        <w:t xml:space="preserve"> </w:t>
      </w:r>
      <w:r>
        <w:t xml:space="preserve">“ICH Q11: Development and Manufacture of Drug Substances.”</w:t>
      </w:r>
      <w:r>
        <w:t xml:space="preserve"> </w:t>
      </w:r>
      <w:r>
        <w:t xml:space="preserve">ICH.</w:t>
      </w:r>
    </w:p>
    <w:bookmarkEnd w:id="42"/>
    <w:bookmarkStart w:id="43" w:name="ref-ichq9"/>
    <w:p>
      <w:pPr>
        <w:pStyle w:val="Bibliography"/>
      </w:pPr>
      <w:r>
        <w:t xml:space="preserve">———. 2023.</w:t>
      </w:r>
      <w:r>
        <w:t xml:space="preserve"> </w:t>
      </w:r>
      <w:r>
        <w:t xml:space="preserve">“ICH Q9(R1): Quality Risk Management.”</w:t>
      </w:r>
      <w:r>
        <w:t xml:space="preserve"> </w:t>
      </w:r>
      <w:r>
        <w:t xml:space="preserve">ICH.</w:t>
      </w:r>
    </w:p>
    <w:bookmarkEnd w:id="43"/>
    <w:bookmarkStart w:id="44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t xml:space="preserve">“Good Practice Guide: Practical Implementation of the Lifecycle Approach to Process Validation.”</w:t>
      </w:r>
      <w:r>
        <w:t xml:space="preserve"> </w:t>
      </w:r>
      <w:r>
        <w:t xml:space="preserve">ISPE.</w:t>
      </w:r>
    </w:p>
    <w:bookmarkEnd w:id="44"/>
    <w:bookmarkStart w:id="45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t xml:space="preserve">“Technical Report No. 60: Process Validation — a Lifecycle Approach.”</w:t>
      </w:r>
      <w:r>
        <w:t xml:space="preserve"> </w:t>
      </w:r>
      <w:r>
        <w:t xml:space="preserve">PDA.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2026-07-24T15:28:26Z</dcterms:created>
  <dcterms:modified xsi:type="dcterms:W3CDTF">2026-07-24T15:28:26Z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../report/references.bib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jupyter">
    <vt:lpwstr>python3</vt:lpwstr>
  </property>
  <property fmtid="{D5CDD505-2E9C-101B-9397-08002B2CF9AE}" pid="12" name="labels">
    <vt:lpwstr/>
  </property>
  <property fmtid="{D5CDD505-2E9C-101B-9397-08002B2CF9AE}" pid="13" name="subtitle">
    <vt:lpwstr>A-Mab Drug Substance — Production Bioreactor (Step 3) — PCP-003</vt:lpwstr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