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</w:t>
      </w:r>
      <w:r>
        <w:t xml:space="preserve"> </w:t>
      </w:r>
      <w:r>
        <w:rPr>
          <w:b/>
          <w:bCs/>
        </w:rPr>
        <w:t xml:space="preserve">A-Mab production bioreactor (Step 3)</w:t>
      </w:r>
      <w:r>
        <w:t xml:space="preserve">, executed under</w:t>
      </w:r>
      <w:r>
        <w:t xml:space="preserve"> </w:t>
      </w:r>
      <w:r>
        <w:rPr>
          <w:b/>
          <w:bCs/>
        </w:rPr>
        <w:t xml:space="preserve">PCP-003</w:t>
      </w:r>
      <w:r>
        <w:t xml:space="preserve">. A</w:t>
      </w:r>
      <w:r>
        <w:t xml:space="preserve"> </w:t>
      </w:r>
      <w:r>
        <w:t xml:space="preserve">19-run screening design and a 28-run response-surface</w:t>
      </w:r>
      <w:r>
        <w:t xml:space="preserve"> </w:t>
      </w:r>
      <w:r>
        <w:t xml:space="preserve">design on a qualified 2 L scale-down model related the culture parameters to the</w:t>
      </w:r>
      <w:r>
        <w:t xml:space="preserve"> </w:t>
      </w:r>
      <w:r>
        <w:t xml:space="preserve">glycosylation, charge-variant and aggregate CQAs and established the upstream</w:t>
      </w:r>
      <w:r>
        <w:t xml:space="preserve"> </w:t>
      </w:r>
      <w:r>
        <w:t xml:space="preserve">design space.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Culture pH, temperature, dissolved CO₂, osmolality and culture duration are</w:t>
      </w:r>
      <w:r>
        <w:t xml:space="preserve"> </w:t>
      </w:r>
      <w:r>
        <w:t xml:space="preserve">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 </w:t>
      </w:r>
      <w:r>
        <w:t xml:space="preserve">— they significantly affect the</w:t>
      </w:r>
      <w:r>
        <w:t xml:space="preserve"> </w:t>
      </w:r>
      <w:r>
        <w:t xml:space="preserve">glycan and charge-variant CQAs but are reliably controlled within the design</w:t>
      </w:r>
      <w:r>
        <w:t xml:space="preserve"> </w:t>
      </w:r>
      <w:r>
        <w:t xml:space="preserve">space. Dissolved oxygen, initial viable cell concentration and nutrient feed-1</w:t>
      </w:r>
      <w:r>
        <w:t xml:space="preserve"> </w:t>
      </w:r>
      <w:r>
        <w:t xml:space="preserve">volume are</w:t>
      </w:r>
      <w:r>
        <w:t xml:space="preserve"> </w:t>
      </w:r>
      <w:r>
        <w:rPr>
          <w:b/>
          <w:bCs/>
        </w:rPr>
        <w:t xml:space="preserve">KPP</w:t>
      </w:r>
      <w:r>
        <w:t xml:space="preserve">; basal medium concentration is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nominal fed-batch reaches a peak viable cell density of</w:t>
      </w:r>
      <w:r>
        <w:t xml:space="preserve"> </w:t>
      </w:r>
      <w:r>
        <w:rPr>
          <w:b/>
          <w:bCs/>
        </w:rPr>
        <w:t xml:space="preserve">13.48 ×10⁶ cells/mL</w:t>
      </w:r>
      <w:r>
        <w:t xml:space="preserve"> </w:t>
      </w:r>
      <w:r>
        <w:t xml:space="preserve">and a harvest titer of</w:t>
      </w:r>
      <w:r>
        <w:t xml:space="preserve"> </w:t>
      </w:r>
      <w:r>
        <w:rPr>
          <w:b/>
          <w:bCs/>
        </w:rPr>
        <w:t xml:space="preserve">4.37 g/L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67.1%</w:t>
      </w:r>
      <w:r>
        <w:t xml:space="preserve"> </w:t>
      </w:r>
      <w:r>
        <w:t xml:space="preserve">final</w:t>
      </w:r>
      <w:r>
        <w:t xml:space="preserve"> </w:t>
      </w:r>
      <w:r>
        <w:t xml:space="preserve">viability.</w:t>
      </w:r>
    </w:p>
    <w:p>
      <w:pPr>
        <w:pStyle w:val="Compact"/>
        <w:numPr>
          <w:ilvl w:val="0"/>
          <w:numId w:val="1001"/>
        </w:numPr>
      </w:pPr>
      <w:r>
        <w:t xml:space="preserve">All in-scope CQAs meet their acceptance criteria at set-point and across the</w:t>
      </w:r>
      <w:r>
        <w:t xml:space="preserve"> </w:t>
      </w:r>
      <w:r>
        <w:t xml:space="preserve">normal operating range; the minimum commercial-scale process capability across</w:t>
      </w:r>
      <w:r>
        <w:t xml:space="preserve"> </w:t>
      </w:r>
      <w:r>
        <w:t xml:space="preserve">the bioreactor-set CQAs is</w:t>
      </w:r>
      <w:r>
        <w:t xml:space="preserve"> </w:t>
      </w:r>
      <w:r>
        <w:rPr>
          <w:b/>
          <w:bCs/>
        </w:rPr>
        <w:t xml:space="preserve">Cpk = 1.94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multivariate design space in culture pH, temperature, duration and CO₂ was</w:t>
      </w:r>
      <w:r>
        <w:t xml:space="preserve"> </w:t>
      </w:r>
      <w:r>
        <w:t xml:space="preserve">established over which every cell-culture CQA is satisfied simultaneously.</w:t>
      </w:r>
    </w:p>
    <w:p>
      <w:pPr>
        <w:pStyle w:val="FirstParagraph"/>
      </w:pPr>
      <w:r>
        <w:t xml:space="preserve">The production bioreactor is well understood; the design space, classifications</w:t>
      </w:r>
      <w:r>
        <w:t xml:space="preserve"> </w:t>
      </w:r>
      <w:r>
        <w:t xml:space="preserve">and proven acceptable ranges support the Stage 2 operating ranges and the overall</w:t>
      </w:r>
      <w:r>
        <w:t xml:space="preserve"> </w:t>
      </w:r>
      <w:r>
        <w:t xml:space="preserve">control strategy.</w:t>
      </w:r>
    </w:p>
    <w:bookmarkEnd w:id="20"/>
    <w:bookmarkStart w:id="22" w:name="related-documents"/>
    <w:p>
      <w:pPr>
        <w:pStyle w:val="Heading1"/>
      </w:pPr>
      <w:r>
        <w:t xml:space="preserve">1. Related documents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l-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purpose-and-scope"/>
    <w:p>
      <w:pPr>
        <w:pStyle w:val="Heading1"/>
      </w:pPr>
      <w:r>
        <w:t xml:space="preserve">2. Purpose and scope</w:t>
      </w:r>
    </w:p>
    <w:p>
      <w:pPr>
        <w:pStyle w:val="FirstParagraph"/>
      </w:pPr>
      <w:r>
        <w:t xml:space="preserve">This report presents the results of the production-bioreactor characterization</w:t>
      </w:r>
      <w:r>
        <w:t xml:space="preserve"> </w:t>
      </w:r>
      <w:r>
        <w:t xml:space="preserve">defined in</w:t>
      </w:r>
      <w:r>
        <w:t xml:space="preserve"> </w:t>
      </w:r>
      <w:r>
        <w:rPr>
          <w:b/>
          <w:bCs/>
        </w:rPr>
        <w:t xml:space="preserve">PCP-003</w:t>
      </w:r>
      <w:r>
        <w:t xml:space="preserve">, following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</w:t>
      </w:r>
      <w:r>
        <w:t xml:space="preserve"> </w:t>
      </w:r>
      <w:r>
        <w:t xml:space="preserve">Guide</w:t>
      </w:r>
      <w:r>
        <w:t xml:space="preserve"> </w:t>
      </w:r>
      <w:r>
        <w:t xml:space="preserve">(International Society for Pharmaceutical Engineering 2023)</w:t>
      </w:r>
      <w:r>
        <w:t xml:space="preserve"> </w:t>
      </w:r>
      <w:r>
        <w:t xml:space="preserve">and the A-Mab methodology</w:t>
      </w:r>
      <w:r>
        <w:t xml:space="preserve"> </w:t>
      </w:r>
      <w:r>
        <w:t xml:space="preserve">(CMC Biotech Working Group 2009)</w:t>
      </w:r>
      <w:r>
        <w:t xml:space="preserve">. Scope, quality</w:t>
      </w:r>
      <w:r>
        <w:t xml:space="preserve"> </w:t>
      </w:r>
      <w:r>
        <w:t xml:space="preserve">attributes and parameter ranges are as defined in PCP-003 and are not restated</w:t>
      </w:r>
      <w:r>
        <w:t xml:space="preserve"> </w:t>
      </w:r>
      <w:r>
        <w:t xml:space="preserve">except where needed to interpret the results.</w:t>
      </w:r>
    </w:p>
    <w:bookmarkEnd w:id="23"/>
    <w:bookmarkStart w:id="25" w:name="study-execution"/>
    <w:p>
      <w:pPr>
        <w:pStyle w:val="Heading1"/>
      </w:pPr>
      <w:r>
        <w:t xml:space="preserve">3. Study execution</w:t>
      </w:r>
    </w:p>
    <w:p>
      <w:pPr>
        <w:pStyle w:val="FirstParagraph"/>
      </w:pPr>
      <w:r>
        <w:t xml:space="preserve">Characterization was performed on a 2 L scale-down model qualified against</w:t>
      </w:r>
      <w:r>
        <w:t xml:space="preserve"> </w:t>
      </w:r>
      <w:r>
        <w:t xml:space="preserve">at-scale reference data for viable cell density, viability, titer and the input</w:t>
      </w:r>
      <w:r>
        <w:t xml:space="preserve"> </w:t>
      </w:r>
      <w:r>
        <w:t xml:space="preserve">and output quality attributes, confirming the model is representative and suitable</w:t>
      </w:r>
      <w:r>
        <w:t xml:space="preserve"> </w:t>
      </w:r>
      <w:r>
        <w:t xml:space="preserve">to support design-space and PAR claims</w:t>
      </w:r>
      <w:r>
        <w:t xml:space="preserve"> </w:t>
      </w:r>
      <w:r>
        <w:t xml:space="preserve">(Parenteral Drug Association 2013)</w:t>
      </w:r>
      <w:r>
        <w:t xml:space="preserve">. Two designs were executed on</w:t>
      </w:r>
      <w:r>
        <w:t xml:space="preserve"> </w:t>
      </w:r>
      <w:r>
        <w:t xml:space="preserve">the SDM: a resolution-V two-level fractional factorial screening design</w:t>
      </w:r>
      <w:r>
        <w:t xml:space="preserve"> </w:t>
      </w:r>
      <w:r>
        <w:t xml:space="preserve">(19 runs in culture pH, temperature, dissolved CO₂, osmolality and</w:t>
      </w:r>
      <w:r>
        <w:t xml:space="preserve"> </w:t>
      </w:r>
      <w:r>
        <w:t xml:space="preserve">culture duration) and a face-centred central-composite response-surface design</w:t>
      </w:r>
      <w:r>
        <w:t xml:space="preserve"> </w:t>
      </w:r>
      <w:r>
        <w:t xml:space="preserve">(28 runs in the four dominant factors). The response-surface models</w:t>
      </w:r>
      <w:r>
        <w:t xml:space="preserve"> </w:t>
      </w:r>
      <w:r>
        <w:t xml:space="preserve">are adequate across the CQAs (</w:t>
      </w:r>
      <w:hyperlink w:anchor="tbl-r2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2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Response-surface model adequacy (coefficient of determination) for the bioreactor CQAs.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Model R²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</w:tbl>
          <w:bookmarkEnd w:id="24"/>
          <w:p/>
        </w:tc>
      </w:tr>
    </w:tbl>
    <w:bookmarkEnd w:id="25"/>
    <w:bookmarkStart w:id="27" w:name="parameters-and-classification"/>
    <w:p>
      <w:pPr>
        <w:pStyle w:val="Heading1"/>
      </w:pPr>
      <w:r>
        <w:t xml:space="preserve">4. Parameters and classification</w:t>
      </w:r>
    </w:p>
    <w:p>
      <w:pPr>
        <w:pStyle w:val="FirstParagraph"/>
      </w:pPr>
      <w:hyperlink w:anchor="tbl-param-r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parameters studied with their set-points, normal operating</w:t>
      </w:r>
      <w:r>
        <w:t xml:space="preserve"> </w:t>
      </w:r>
      <w:r>
        <w:t xml:space="preserve">ranges, proven acceptable ranges and final classification.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param-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Production-bioreactor parameters,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86"/>
              <w:gridCol w:w="1061"/>
              <w:gridCol w:w="1061"/>
              <w:gridCol w:w="898"/>
              <w:gridCol w:w="73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6"/>
          <w:p/>
        </w:tc>
      </w:tr>
    </w:tbl>
    <w:bookmarkEnd w:id="27"/>
    <w:bookmarkStart w:id="32" w:name="nominal-batch-performance"/>
    <w:p>
      <w:pPr>
        <w:pStyle w:val="Heading1"/>
      </w:pPr>
      <w:r>
        <w:t xml:space="preserve">5. Nominal batch performance</w:t>
      </w:r>
    </w:p>
    <w:p>
      <w:pPr>
        <w:pStyle w:val="FirstParagraph"/>
      </w:pPr>
      <w:r>
        <w:t xml:space="preserve">The nominal fed-batch profile (</w:t>
      </w:r>
      <w:hyperlink w:anchor="fig-br-tc-r">
        <w:r>
          <w:rPr>
            <w:rStyle w:val="Hyperlink"/>
          </w:rPr>
          <w:t xml:space="preserve">Figure 1</w:t>
        </w:r>
      </w:hyperlink>
      <w:r>
        <w:t xml:space="preserve">) reaches a peak viable cell density of</w:t>
      </w:r>
      <w:r>
        <w:t xml:space="preserve"> </w:t>
      </w:r>
      <w:r>
        <w:t xml:space="preserve">13.48 ×10⁶ cells/mL and a harvest titer of</w:t>
      </w:r>
      <w:r>
        <w:t xml:space="preserve"> </w:t>
      </w:r>
      <w:r>
        <w:t xml:space="preserve">4.37 g/L at 67.1%</w:t>
      </w:r>
      <w:r>
        <w:t xml:space="preserve"> </w:t>
      </w:r>
      <w:r>
        <w:t xml:space="preserve">final viability at the nominal 17-day</w:t>
      </w:r>
      <w:r>
        <w:t xml:space="preserve"> </w:t>
      </w:r>
      <w:r>
        <w:t xml:space="preserve">harvest.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br-tc-r"/>
          <w:p>
            <w:pPr>
              <w:pStyle w:val="Compact"/>
              <w:jc w:val="center"/>
            </w:pPr>
            <w:r>
              <w:drawing>
                <wp:inline>
                  <wp:extent cx="5334000" cy="153195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timecours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319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Nominal production-bioreactor time course: viable cell density, viability and titer.</w:t>
            </w:r>
          </w:p>
          <w:bookmarkEnd w:id="31"/>
        </w:tc>
      </w:tr>
    </w:tbl>
    <w:bookmarkEnd w:id="32"/>
    <w:bookmarkStart w:id="39" w:name="screening-results"/>
    <w:p>
      <w:pPr>
        <w:pStyle w:val="Heading1"/>
      </w:pPr>
      <w:r>
        <w:t xml:space="preserve">6. Screening results</w:t>
      </w:r>
    </w:p>
    <w:p>
      <w:pPr>
        <w:pStyle w:val="FirstParagraph"/>
      </w:pPr>
      <w:r>
        <w:t xml:space="preserve">Screening identified culture pH, temperature, dissolved CO₂, osmolality and</w:t>
      </w:r>
      <w:r>
        <w:t xml:space="preserve"> </w:t>
      </w:r>
      <w:r>
        <w:t xml:space="preserve">culture duration as significant for the glycan and charge-variant CQAs</w:t>
      </w:r>
      <w:r>
        <w:t xml:space="preserve"> </w:t>
      </w:r>
      <w:r>
        <w:t xml:space="preserve">(</w:t>
      </w:r>
      <w:hyperlink w:anchor="fig-br-pareto-r">
        <w:r>
          <w:rPr>
            <w:rStyle w:val="Hyperlink"/>
          </w:rPr>
          <w:t xml:space="preserve">Figure 2</w:t>
        </w:r>
      </w:hyperlink>
      <w:r>
        <w:t xml:space="preserve">). The largest standardized effects on afucosylation and</w:t>
      </w:r>
      <w:r>
        <w:t xml:space="preserve"> </w:t>
      </w:r>
      <w:r>
        <w:t xml:space="preserve">galactosylation are given in</w:t>
      </w:r>
      <w:r>
        <w:t xml:space="preserve"> </w:t>
      </w:r>
      <w:hyperlink w:anchor="tbl-eff-afuc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eff-gal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br-pareto-r"/>
          <w:p>
            <w:pPr>
              <w:pStyle w:val="Compact"/>
              <w:jc w:val="center"/>
            </w:pPr>
            <w:r>
              <w:drawing>
                <wp:inline>
                  <wp:extent cx="5334000" cy="174371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pareto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437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Standardized effects (screening DoE) for afucosylation and galactosylation; red bars are significant (p &lt; 0.05).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eff-afu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Largest standardized effects on afucosylation (bioreactor screening DoE).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×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× co2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eff-ga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Largest standardized effects on galactosylation (bioreactor screening DoE).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×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× 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× co2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Lower pH and lower temperature increase specific productivity, culture duration</w:t>
      </w:r>
      <w:r>
        <w:t xml:space="preserve"> </w:t>
      </w:r>
      <w:r>
        <w:t xml:space="preserve">and titer, with a modest increase in afucosylation and a decrease in</w:t>
      </w:r>
      <w:r>
        <w:t xml:space="preserve"> </w:t>
      </w:r>
      <w:r>
        <w:t xml:space="preserve">galactosylation; extended culture duration lowers afucosylation and</w:t>
      </w:r>
      <w:r>
        <w:t xml:space="preserve"> </w:t>
      </w:r>
      <w:r>
        <w:t xml:space="preserve">galactosylation and raises the harvest HCP and DNA load as viability declines.</w:t>
      </w:r>
    </w:p>
    <w:bookmarkEnd w:id="39"/>
    <w:bookmarkStart w:id="44" w:name="response-surface-and-design-space"/>
    <w:p>
      <w:pPr>
        <w:pStyle w:val="Heading1"/>
      </w:pPr>
      <w:r>
        <w:t xml:space="preserve">7. Response surface and design space</w:t>
      </w:r>
    </w:p>
    <w:p>
      <w:pPr>
        <w:pStyle w:val="FirstParagraph"/>
      </w:pPr>
      <w:r>
        <w:t xml:space="preserve">The response-surface design quantified the main effects, two-factor interactions</w:t>
      </w:r>
      <w:r>
        <w:t xml:space="preserve"> </w:t>
      </w:r>
      <w:r>
        <w:t xml:space="preserve">and curvature and defined the multivariate design space (</w:t>
      </w:r>
      <w:hyperlink w:anchor="fig-br-ds-r">
        <w:r>
          <w:rPr>
            <w:rStyle w:val="Hyperlink"/>
          </w:rPr>
          <w:t xml:space="preserve">Figure 3</w:t>
        </w:r>
      </w:hyperlink>
      <w:r>
        <w:t xml:space="preserve">). Within the</w:t>
      </w:r>
      <w:r>
        <w:t xml:space="preserve"> </w:t>
      </w:r>
      <w:r>
        <w:t xml:space="preserve">characterized ranges all cell-culture CQAs remain within acceptance</w:t>
      </w:r>
      <w:r>
        <w:t xml:space="preserve"> </w:t>
      </w:r>
      <w:r>
        <w:t xml:space="preserve">simultaneously, defining a robust design space in culture pH, temperature,</w:t>
      </w:r>
      <w:r>
        <w:t xml:space="preserve"> </w:t>
      </w:r>
      <w:r>
        <w:t xml:space="preserve">duration and dissolved CO₂; the shaded region satisfies every CQA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br-ds-r"/>
          <w:p>
            <w:pPr>
              <w:pStyle w:val="Compact"/>
              <w:jc w:val="center"/>
            </w:pPr>
            <w:r>
              <w:drawing>
                <wp:inline>
                  <wp:extent cx="4533900" cy="368569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designspac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685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Production-bioreactor design space (pH × culture duration); the shaded region satisfies all cell-culture CQAs simultaneously. Blue contours are afucosylation (%).</w:t>
            </w:r>
          </w:p>
          <w:bookmarkEnd w:id="43"/>
        </w:tc>
      </w:tr>
    </w:tbl>
    <w:bookmarkEnd w:id="44"/>
    <w:bookmarkStart w:id="46" w:name="cqa-outcomes-and-process-capability"/>
    <w:p>
      <w:pPr>
        <w:pStyle w:val="Heading1"/>
      </w:pPr>
      <w:r>
        <w:t xml:space="preserve">8. CQA outcomes and process capability</w:t>
      </w:r>
    </w:p>
    <w:p>
      <w:pPr>
        <w:pStyle w:val="FirstParagraph"/>
      </w:pPr>
      <w:r>
        <w:t xml:space="preserve">A Monte-Carlo simulation of 2,000 commercial-scale</w:t>
      </w:r>
      <w:r>
        <w:t xml:space="preserve"> </w:t>
      </w:r>
      <w:r>
        <w:t xml:space="preserve">batches, with every parameter varied within its normal operating range, was used</w:t>
      </w:r>
      <w:r>
        <w:t xml:space="preserve"> </w:t>
      </w:r>
      <w:r>
        <w:t xml:space="preserve">to estimate the bioreactor-set CQA distributions and process capability</w:t>
      </w:r>
      <w:r>
        <w:t xml:space="preserve"> </w:t>
      </w:r>
      <w:r>
        <w:t xml:space="preserve">(</w:t>
      </w:r>
      <w:hyperlink w:anchor="tbl-cap-r">
        <w:r>
          <w:rPr>
            <w:rStyle w:val="Hyperlink"/>
          </w:rPr>
          <w:t xml:space="preserve">Table 6</w:t>
        </w:r>
      </w:hyperlink>
      <w:r>
        <w:t xml:space="preserve">). Capability is evaluated one-sided for impurities (upper limit) and</w:t>
      </w:r>
      <w:r>
        <w:t xml:space="preserve"> </w:t>
      </w:r>
      <w:r>
        <w:t xml:space="preserve">two-sided for target-range attributes.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ap-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Commercial-scale process capability for the bioreactor-set CQAs.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All in-scope CQAs meet their acceptance criteria, with a minimum capability of</w:t>
      </w:r>
      <w:r>
        <w:t xml:space="preserve"> </w:t>
      </w:r>
      <w:r>
        <w:rPr>
          <w:b/>
          <w:bCs/>
        </w:rPr>
        <w:t xml:space="preserve">Cpk = 1.94</w:t>
      </w:r>
      <w:r>
        <w:t xml:space="preserve"> </w:t>
      </w:r>
      <w:r>
        <w:t xml:space="preserve">across the bioreactor-set CQAs (high</w:t>
      </w:r>
      <w:r>
        <w:t xml:space="preserve"> </w:t>
      </w:r>
      <w:r>
        <w:t xml:space="preserve">mannose is the tightest, being a Very-High-criticality attribute controlled to a</w:t>
      </w:r>
      <w:r>
        <w:t xml:space="preserve"> </w:t>
      </w:r>
      <w:r>
        <w:t xml:space="preserve">narrow range).</w:t>
      </w:r>
    </w:p>
    <w:bookmarkEnd w:id="46"/>
    <w:bookmarkStart w:id="47" w:name="parameter-classification-and-rationale"/>
    <w:p>
      <w:pPr>
        <w:pStyle w:val="Heading1"/>
      </w:pPr>
      <w:r>
        <w:t xml:space="preserve">9. Parameter classification and rationale</w:t>
      </w:r>
    </w:p>
    <w:p>
      <w:pPr>
        <w:pStyle w:val="FirstParagraph"/>
      </w:pPr>
      <w:r>
        <w:t xml:space="preserve">Culture pH, temperature, dissolved CO₂, osmolality and culture duration</w:t>
      </w:r>
      <w:r>
        <w:t xml:space="preserve"> </w:t>
      </w:r>
      <w:r>
        <w:t xml:space="preserve">significantly affect the glycan and charge-variant CQAs but are reliably held</w:t>
      </w:r>
      <w:r>
        <w:t xml:space="preserve"> </w:t>
      </w:r>
      <w:r>
        <w:t xml:space="preserve">within the design space by closed-loop control and in-process monitoring; they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WC-CPP</w:t>
      </w:r>
      <w:r>
        <w:t xml:space="preserve">. Dissolved oxygen, initial viable cell concentration and</w:t>
      </w:r>
      <w:r>
        <w:t xml:space="preserve"> </w:t>
      </w:r>
      <w:r>
        <w:t xml:space="preserve">nutrient feed-1 volume affect peak viable cell density, titer and process</w:t>
      </w:r>
      <w:r>
        <w:t xml:space="preserve"> </w:t>
      </w:r>
      <w:r>
        <w:t xml:space="preserve">consistency without a significant CQA impact and are</w:t>
      </w:r>
      <w:r>
        <w:t xml:space="preserve"> </w:t>
      </w:r>
      <w:r>
        <w:rPr>
          <w:b/>
          <w:bCs/>
        </w:rPr>
        <w:t xml:space="preserve">KPP</w:t>
      </w:r>
      <w:r>
        <w:t xml:space="preserve">. Basal medium</w:t>
      </w:r>
      <w:r>
        <w:t xml:space="preserve"> </w:t>
      </w:r>
      <w:r>
        <w:t xml:space="preserve">concentration showed no meaningful impact over a wide range and is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bookmarkEnd w:id="47"/>
    <w:bookmarkStart w:id="48" w:name="conclusions"/>
    <w:p>
      <w:pPr>
        <w:pStyle w:val="Heading1"/>
      </w:pPr>
      <w:r>
        <w:t xml:space="preserve">10. Conclusions</w:t>
      </w:r>
    </w:p>
    <w:p>
      <w:pPr>
        <w:pStyle w:val="FirstParagraph"/>
      </w:pPr>
      <w:r>
        <w:t xml:space="preserve">The production bioreactor is well understood and robust: the relationships between</w:t>
      </w:r>
      <w:r>
        <w:t xml:space="preserve"> </w:t>
      </w:r>
      <w:r>
        <w:t xml:space="preserve">the culture parameters and the glycan, charge-variant and aggregate CQAs are</w:t>
      </w:r>
      <w:r>
        <w:t xml:space="preserve"> </w:t>
      </w:r>
      <w:r>
        <w:t xml:space="preserve">quantified, a multivariate design space is established, and every parameter range</w:t>
      </w:r>
      <w:r>
        <w:t xml:space="preserve"> </w:t>
      </w:r>
      <w:r>
        <w:t xml:space="preserve">is justified by data. The design space, classifications and proven acceptable</w:t>
      </w:r>
      <w:r>
        <w:t xml:space="preserve"> </w:t>
      </w:r>
      <w:r>
        <w:t xml:space="preserve">ranges provide the basis for the Stage 2 operating ranges and feed the overall</w:t>
      </w:r>
      <w:r>
        <w:t xml:space="preserve"> </w:t>
      </w:r>
      <w:r>
        <w:t xml:space="preserve">control strategy. This report rolls up into the Process Characterization Master</w:t>
      </w:r>
      <w:r>
        <w:t xml:space="preserve"> </w:t>
      </w:r>
      <w:r>
        <w:t xml:space="preserve">Report (</w:t>
      </w:r>
      <w:r>
        <w:rPr>
          <w:b/>
          <w:bCs/>
        </w:rPr>
        <w:t xml:space="preserve">PCMR-001</w:t>
      </w:r>
      <w:r>
        <w:t xml:space="preserve">) and provides the parameter risk basis for the</w:t>
      </w:r>
      <w:r>
        <w:t xml:space="preserve"> </w:t>
      </w:r>
      <w:r>
        <w:t xml:space="preserve">post-characterization process risk assessment.</w:t>
      </w:r>
    </w:p>
    <w:bookmarkEnd w:id="48"/>
    <w:bookmarkStart w:id="49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Every figure, table and number in this report is generated from the seeded A-Mab</w:t>
      </w:r>
      <w:r>
        <w:t xml:space="preserve"> </w:t>
      </w:r>
      <w:r>
        <w:t xml:space="preserve">process model (master seed 20240724); the datasets and figures are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repository and are shared with the consolidated</w:t>
      </w:r>
      <w:r>
        <w:t xml:space="preserve"> </w:t>
      </w:r>
      <w:r>
        <w:t xml:space="preserve">process-characterization report.</w:t>
      </w:r>
    </w:p>
    <w:bookmarkEnd w:id="49"/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5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t xml:space="preserve">“A-Mab: A Case Study in Bioprocess Development.”</w:t>
      </w:r>
      <w:r>
        <w:t xml:space="preserve"> </w:t>
      </w:r>
      <w:r>
        <w:t xml:space="preserve">CASSS.</w:t>
      </w:r>
    </w:p>
    <w:bookmarkEnd w:id="50"/>
    <w:bookmarkStart w:id="51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t xml:space="preserve">“Good Practice Guide: Practical Implementation of the Lifecycle Approach to Process Validation.”</w:t>
      </w:r>
      <w:r>
        <w:t xml:space="preserve"> </w:t>
      </w:r>
      <w:r>
        <w:t xml:space="preserve">ISPE.</w:t>
      </w:r>
    </w:p>
    <w:bookmarkEnd w:id="51"/>
    <w:bookmarkStart w:id="52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t xml:space="preserve">“Technical Report No. 60: Process Validation — a Lifecycle Approach.”</w:t>
      </w:r>
      <w:r>
        <w:t xml:space="preserve"> </w:t>
      </w:r>
      <w:r>
        <w:t xml:space="preserve">PDA.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2026-07-24T15:28:48Z</dcterms:created>
  <dcterms:modified xsi:type="dcterms:W3CDTF">2026-07-24T15:28:48Z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../report/references.bib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