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43.png" ContentType="image/png"/>
  <Override PartName="/word/media/rId36.png" ContentType="image/png"/>
  <Override PartName="/word/media/rId54.png" ContentType="image/png"/>
  <Override PartName="/word/media/rId58.png" ContentType="image/png"/>
  <Override PartName="/word/media/rId6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Process Characterization Report</w:t>
      </w:r>
    </w:p>
    <w:p>
      <w:pPr>
        <w:pStyle w:val="Subtitle"/>
      </w:pPr>
      <w:r>
        <w:t xml:space="preserve">A-Mab Drug Substance — Production Bioreactor (Step 3) — PCR-003</w:t>
      </w:r>
    </w:p>
    <w:p>
      <w:pPr>
        <w:pStyle w:val="Author"/>
      </w:pPr>
      <w:r>
        <w:t xml:space="preserve">Process Development / Manufacturing Science &amp; Technology (MSAT)</w:t>
      </w:r>
    </w:p>
    <w:p>
      <w:pPr>
        <w:pStyle w:val="Date"/>
      </w:pPr>
      <w:r>
        <w:t xml:space="preserve">2026-07-24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75"/>
        <w:gridCol w:w="694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PCR-003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 Characterization Report: Production Bioreactor (Step 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A-Mab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Effective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2026-07-24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Approved (synthetic)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Manufacturing Science &amp; Technology (MSAT)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Sponsor /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Novacyte Biologics; Novacyte Biologics — Cambridge, MA (Development) → Novacyte Biologics — Grafton, WI (Commercial DS)</w:t>
            </w:r>
          </w:p>
        </w:tc>
      </w:tr>
    </w:tbl>
    <w:p>
      <w:pPr>
        <w:pStyle w:val="BlockText"/>
      </w:pPr>
      <w:r>
        <w:rPr>
          <w:b/>
          <w:bCs/>
        </w:rPr>
        <w:t xml:space="preserve">SYNTHETIC DOCUMENT — NOT A REAL RECORD.</w:t>
      </w:r>
      <w:r>
        <w:t xml:space="preserve"> </w:t>
      </w:r>
      <w:r>
        <w:t xml:space="preserve">Illustrative content generated from a seeded model of the</w:t>
      </w:r>
      <w:r>
        <w:t xml:space="preserve"> </w:t>
      </w:r>
      <w:r>
        <w:rPr>
          <w:i/>
          <w:iCs/>
        </w:rPr>
        <w:t xml:space="preserve">A-Mab</w:t>
      </w:r>
      <w:r>
        <w:t xml:space="preserve"> </w:t>
      </w:r>
      <w:r>
        <w:t xml:space="preserve">case study (CMC Biotech Working Group, 2009). Novacyte Biologics and all sites, SOP/AMV numbers and signatories are fictional. For NLP corpus development only; not for any regulated use.</w:t>
      </w:r>
    </w:p>
    <w:bookmarkStart w:id="10" w:name="approvals"/>
    <w:p>
      <w:pPr>
        <w:pStyle w:val="Heading2"/>
      </w:pPr>
      <w:r>
        <w:t xml:space="preserve">Approvals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app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Approval record (synthetic; signatures not applied).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 (synthetic)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Signature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Author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Process Development / MSAT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Analytical Development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Manufacturing Science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Reviewer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Approver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Assurance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—</w:t>
                  </w:r>
                </w:p>
              </w:tc>
            </w:tr>
          </w:tbl>
          <w:bookmarkEnd w:id="9"/>
          <w:p/>
        </w:tc>
      </w:tr>
    </w:tbl>
    <w:bookmarkEnd w:id="10"/>
    <w:bookmarkStart w:id="11" w:name="abbreviations"/>
    <w:p>
      <w:pPr>
        <w:pStyle w:val="Heading2"/>
      </w:pPr>
      <w:r>
        <w:t xml:space="preserve">Abbreviations</w:t>
      </w:r>
    </w:p>
    <w:p>
      <w:pPr>
        <w:pStyle w:val="FirstParagraph"/>
      </w:pPr>
      <w:r>
        <w:t xml:space="preserve">ADCC, antibody-dependent cell-mediated cytotoxicity · ANOVA, analysis of variance ·</w:t>
      </w:r>
      <w:r>
        <w:t xml:space="preserve"> </w:t>
      </w:r>
      <w:r>
        <w:t xml:space="preserve">BLA, Biologics License Application · CCD, central-composite design · CDC,</w:t>
      </w:r>
      <w:r>
        <w:t xml:space="preserve"> </w:t>
      </w:r>
      <w:r>
        <w:t xml:space="preserve">complement-dependent cytotoxicity · CPP, critical process parameter · CQA,</w:t>
      </w:r>
      <w:r>
        <w:t xml:space="preserve"> </w:t>
      </w:r>
      <w:r>
        <w:t xml:space="preserve">critical quality attribute · DoE, design of experiments · DO, dissolved oxygen ·</w:t>
      </w:r>
      <w:r>
        <w:t xml:space="preserve"> </w:t>
      </w:r>
      <w:r>
        <w:t xml:space="preserve">DS, drug substance · GPP, general process parameter · HCP, host-cell protein ·</w:t>
      </w:r>
      <w:r>
        <w:t xml:space="preserve"> </w:t>
      </w:r>
      <w:r>
        <w:t xml:space="preserve">ICH, International Council for Harmonisation · IPC, in-process control · KPP, key</w:t>
      </w:r>
      <w:r>
        <w:t xml:space="preserve"> </w:t>
      </w:r>
      <w:r>
        <w:t xml:space="preserve">process parameter · LRV, log-reduction value · MSAT, Manufacturing Science and</w:t>
      </w:r>
      <w:r>
        <w:t xml:space="preserve"> </w:t>
      </w:r>
      <w:r>
        <w:t xml:space="preserve">Technology · NOR, normal operating range · PAR, proven acceptable range · PPQ,</w:t>
      </w:r>
      <w:r>
        <w:t xml:space="preserve"> </w:t>
      </w:r>
      <w:r>
        <w:t xml:space="preserve">process performance qualification · QbD, Quality by Design · QTPP, quality target</w:t>
      </w:r>
      <w:r>
        <w:t xml:space="preserve"> </w:t>
      </w:r>
      <w:r>
        <w:t xml:space="preserve">product profile · RSM, response-surface methodology · SDM, scale-down model ·</w:t>
      </w:r>
      <w:r>
        <w:t xml:space="preserve"> </w:t>
      </w:r>
      <w:r>
        <w:t xml:space="preserve">SEC, size-exclusion chromatography · VCD, viable cell density · WC-CPP,</w:t>
      </w:r>
      <w:r>
        <w:t xml:space="preserve"> </w:t>
      </w:r>
      <w:r>
        <w:t xml:space="preserve">well-controlled CPP.</w:t>
      </w:r>
    </w:p>
    <w:p>
      <w:r>
        <w:br w:type="page"/>
      </w:r>
    </w:p>
    <w:bookmarkEnd w:id="11"/>
    <w:bookmarkStart w:id="1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documents the Stage 1 (Process Design) characterization of the A-Mab</w:t>
      </w:r>
      <w:r>
        <w:t xml:space="preserve"> </w:t>
      </w:r>
      <w:r>
        <w:t xml:space="preserve">production bioreactor (Step 3), the fed-batch mammalian cell-culture operation that</w:t>
      </w:r>
      <w:r>
        <w:t xml:space="preserve"> </w:t>
      </w:r>
      <w:r>
        <w:t xml:space="preserve">establishes the N-glycosylation, charge-variant and initial size-variant and</w:t>
      </w:r>
      <w:r>
        <w:t xml:space="preserve"> </w:t>
      </w:r>
      <w:r>
        <w:t xml:space="preserve">process-impurity profile of the drug substance. The study was executed under the</w:t>
      </w:r>
      <w:r>
        <w:t xml:space="preserve"> </w:t>
      </w:r>
      <w:r>
        <w:t xml:space="preserve">Process Characterization Plan</w:t>
      </w:r>
      <w:r>
        <w:t xml:space="preserve"> </w:t>
      </w:r>
      <w:r>
        <w:rPr>
          <w:b/>
          <w:bCs/>
        </w:rPr>
        <w:t xml:space="preserve">PCP-003</w:t>
      </w:r>
      <w:r>
        <w:t xml:space="preserve"> </w:t>
      </w:r>
      <w:r>
        <w:t xml:space="preserve">on a qualified 2 L scale-down model</w:t>
      </w:r>
      <w:r>
        <w:t xml:space="preserve"> </w:t>
      </w:r>
      <w:r>
        <w:t xml:space="preserve">(SDM), following the lifecycle approach to process validation</w:t>
      </w:r>
      <w:r>
        <w:t xml:space="preserve"> </w:t>
      </w:r>
      <w:r>
        <w:t xml:space="preserve">(U.S. Food and Drug Administration 2011; Parenteral Drug Association 2013; International Society for Pharmaceutical Engineering 2023)</w:t>
      </w:r>
      <w:r>
        <w:t xml:space="preserve"> </w:t>
      </w:r>
      <w:r>
        <w:t xml:space="preserve">and the Quality-by-Design principles of ICH Q8, Q9 and Q11</w:t>
      </w:r>
      <w:r>
        <w:t xml:space="preserve"> </w:t>
      </w:r>
      <w:r>
        <w:t xml:space="preserve">(International Council for Harmonisation 2009, 2023, 2012)</w:t>
      </w:r>
      <w:r>
        <w:t xml:space="preserve">, with the process model, quality-attribute framework and</w:t>
      </w:r>
      <w:r>
        <w:t xml:space="preserve"> </w:t>
      </w:r>
      <w:r>
        <w:t xml:space="preserve">risk methodology of the A-Mab case study</w:t>
      </w:r>
      <w:r>
        <w:t xml:space="preserve"> </w:t>
      </w:r>
      <w:r>
        <w:t xml:space="preserve">(CMC Biotech Working Group 2009)</w:t>
      </w:r>
      <w:r>
        <w:t xml:space="preserve">.</w:t>
      </w:r>
    </w:p>
    <w:p>
      <w:pPr>
        <w:pStyle w:val="BodyText"/>
      </w:pPr>
      <w:r>
        <w:t xml:space="preserve">Nine process parameters were evaluated. A 19-run resolution-V</w:t>
      </w:r>
      <w:r>
        <w:t xml:space="preserve"> </w:t>
      </w:r>
      <w:r>
        <w:t xml:space="preserve">fractional-factorial screening design identified the significant factors and</w:t>
      </w:r>
      <w:r>
        <w:t xml:space="preserve"> </w:t>
      </w:r>
      <w:r>
        <w:t xml:space="preserve">two-factor interactions for five cell-culture CQAs; a 28-run</w:t>
      </w:r>
      <w:r>
        <w:t xml:space="preserve"> </w:t>
      </w:r>
      <w:r>
        <w:t xml:space="preserve">face-centred central-composite response-surface design then quantified main</w:t>
      </w:r>
      <w:r>
        <w:t xml:space="preserve"> </w:t>
      </w:r>
      <w:r>
        <w:t xml:space="preserve">effects, interactions and curvature and defined the multivariate design space. The</w:t>
      </w:r>
      <w:r>
        <w:t xml:space="preserve"> </w:t>
      </w:r>
      <w:r>
        <w:t xml:space="preserve">response-surface models are adequate for all five CQAs</w:t>
      </w:r>
      <w:r>
        <w:t xml:space="preserve"> </w:t>
      </w:r>
      <w:r>
        <w:t xml:space="preserve">(R² = 0.91–0.97, adjusted R² ≥</w:t>
      </w:r>
      <w:r>
        <w:t xml:space="preserve"> </w:t>
      </w:r>
      <w:r>
        <w:t xml:space="preserve">0.81, predicted R² ≥ 0.60) with no</w:t>
      </w:r>
      <w:r>
        <w:t xml:space="preserve"> </w:t>
      </w:r>
      <w:r>
        <w:t xml:space="preserve">significant lack of fit relative to the center-point pure error.</w:t>
      </w:r>
    </w:p>
    <w:p>
      <w:pPr>
        <w:pStyle w:val="BodyText"/>
      </w:pPr>
      <w:r>
        <w:rPr>
          <w:b/>
          <w:bCs/>
        </w:rPr>
        <w:t xml:space="preserve">Key outcomes</w:t>
      </w:r>
    </w:p>
    <w:p>
      <w:pPr>
        <w:pStyle w:val="Compact"/>
        <w:numPr>
          <w:ilvl w:val="0"/>
          <w:numId w:val="1001"/>
        </w:numPr>
      </w:pPr>
      <w:r>
        <w:t xml:space="preserve">Culture pH, temperature, dissolved CO₂, osmolality and culture duration</w:t>
      </w:r>
      <w:r>
        <w:t xml:space="preserve"> </w:t>
      </w:r>
      <w:r>
        <w:t xml:space="preserve">significantly affect the glycan and charge-variant CQAs and are classified</w:t>
      </w:r>
      <w:r>
        <w:t xml:space="preserve"> </w:t>
      </w:r>
      <w:r>
        <w:rPr>
          <w:b/>
          <w:bCs/>
        </w:rPr>
        <w:t xml:space="preserve">well-controlled CPP (WC-CPP)</w:t>
      </w:r>
      <w:r>
        <w:t xml:space="preserve">; dissolved oxygen, initial viable cell</w:t>
      </w:r>
      <w:r>
        <w:t xml:space="preserve"> </w:t>
      </w:r>
      <w:r>
        <w:t xml:space="preserve">concentration and nutrient feed-1 volume are</w:t>
      </w:r>
      <w:r>
        <w:t xml:space="preserve"> </w:t>
      </w:r>
      <w:r>
        <w:rPr>
          <w:b/>
          <w:bCs/>
        </w:rPr>
        <w:t xml:space="preserve">KPP</w:t>
      </w:r>
      <w:r>
        <w:t xml:space="preserve">; basal medium concentration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GPP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nominal fed-batch reaches a peak viable cell density of</w:t>
      </w:r>
      <w:r>
        <w:t xml:space="preserve"> </w:t>
      </w:r>
      <w:r>
        <w:rPr>
          <w:b/>
          <w:bCs/>
        </w:rPr>
        <w:t xml:space="preserve">13.48 ×10⁶</w:t>
      </w:r>
      <w:r>
        <w:rPr>
          <w:b/>
          <w:bCs/>
        </w:rPr>
        <w:t xml:space="preserve"> </w:t>
      </w:r>
      <w:r>
        <w:rPr>
          <w:b/>
          <w:bCs/>
        </w:rPr>
        <w:t xml:space="preserve">cells/mL</w:t>
      </w:r>
      <w:r>
        <w:t xml:space="preserve"> </w:t>
      </w:r>
      <w:r>
        <w:t xml:space="preserve">and a harvest titer of</w:t>
      </w:r>
      <w:r>
        <w:t xml:space="preserve"> </w:t>
      </w:r>
      <w:r>
        <w:rPr>
          <w:b/>
          <w:bCs/>
        </w:rPr>
        <w:t xml:space="preserve">4.37 g/L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67.1%</w:t>
      </w:r>
      <w:r>
        <w:t xml:space="preserve"> </w:t>
      </w:r>
      <w:r>
        <w:t xml:space="preserve">final viability.</w:t>
      </w:r>
    </w:p>
    <w:p>
      <w:pPr>
        <w:pStyle w:val="Compact"/>
        <w:numPr>
          <w:ilvl w:val="0"/>
          <w:numId w:val="1001"/>
        </w:numPr>
      </w:pPr>
      <w:r>
        <w:t xml:space="preserve">A multivariate design space in culture pH, temperature, culture duration and</w:t>
      </w:r>
      <w:r>
        <w:t xml:space="preserve"> </w:t>
      </w:r>
      <w:r>
        <w:t xml:space="preserve">dissolved CO₂ was established over which all cell-culture CQAs are satisfied</w:t>
      </w:r>
      <w:r>
        <w:t xml:space="preserve"> </w:t>
      </w:r>
      <w:r>
        <w:t xml:space="preserve">simultaneously.</w:t>
      </w:r>
    </w:p>
    <w:p>
      <w:pPr>
        <w:pStyle w:val="Compact"/>
        <w:numPr>
          <w:ilvl w:val="0"/>
          <w:numId w:val="1001"/>
        </w:numPr>
      </w:pPr>
      <w:r>
        <w:t xml:space="preserve">Across a Monte-Carlo simulation of 2,000 commercial-scale</w:t>
      </w:r>
      <w:r>
        <w:t xml:space="preserve"> </w:t>
      </w:r>
      <w:r>
        <w:t xml:space="preserve">batches, all bioreactor-set CQAs meet their acceptance criteria with a minimum</w:t>
      </w:r>
      <w:r>
        <w:t xml:space="preserve"> </w:t>
      </w:r>
      <w:r>
        <w:t xml:space="preserve">capability of</w:t>
      </w:r>
      <w:r>
        <w:t xml:space="preserve"> </w:t>
      </w:r>
      <w:r>
        <w:rPr>
          <w:b/>
          <w:bCs/>
        </w:rPr>
        <w:t xml:space="preserve">Cpk = 1.94</w:t>
      </w:r>
      <w:r>
        <w:t xml:space="preserve">.</w:t>
      </w:r>
    </w:p>
    <w:p>
      <w:pPr>
        <w:pStyle w:val="FirstParagraph"/>
      </w:pPr>
      <w:r>
        <w:t xml:space="preserve">The production bioreactor is demonstrated to be well understood and robust. The</w:t>
      </w:r>
      <w:r>
        <w:t xml:space="preserve"> </w:t>
      </w:r>
      <w:r>
        <w:t xml:space="preserve">design space, parameter classifications and proven acceptable ranges support the</w:t>
      </w:r>
      <w:r>
        <w:t xml:space="preserve"> </w:t>
      </w:r>
      <w:r>
        <w:t xml:space="preserve">Stage 2 operating ranges and the drug-substance control strategy, and this report</w:t>
      </w:r>
      <w:r>
        <w:t xml:space="preserve"> </w:t>
      </w:r>
      <w:r>
        <w:t xml:space="preserve">rolls up into the Process Characterization Master Report (</w:t>
      </w:r>
      <w:r>
        <w:rPr>
          <w:b/>
          <w:bCs/>
        </w:rPr>
        <w:t xml:space="preserve">PCMR-001</w:t>
      </w:r>
      <w:r>
        <w:t xml:space="preserve">).</w:t>
      </w:r>
    </w:p>
    <w:bookmarkEnd w:id="12"/>
    <w:bookmarkStart w:id="16" w:name="introduction"/>
    <w:p>
      <w:pPr>
        <w:pStyle w:val="Heading1"/>
      </w:pPr>
      <w:r>
        <w:t xml:space="preserve">1. Introduction</w:t>
      </w:r>
    </w:p>
    <w:bookmarkStart w:id="13" w:name="product-and-unit-operation"/>
    <w:p>
      <w:pPr>
        <w:pStyle w:val="Heading2"/>
      </w:pPr>
      <w:r>
        <w:t xml:space="preserve">1.1 Product and unit operation</w:t>
      </w:r>
    </w:p>
    <w:p>
      <w:pPr>
        <w:pStyle w:val="FirstParagraph"/>
      </w:pPr>
      <w:r>
        <w:t xml:space="preserve">A-Mab is a humanized IgG1 monoclonal antibody whose principal mechanism of action</w:t>
      </w:r>
      <w:r>
        <w:t xml:space="preserve"> </w:t>
      </w:r>
      <w:r>
        <w:t xml:space="preserve">is antibody-dependent cell-mediated cytotoxicity (ADCC), with a contributory</w:t>
      </w:r>
      <w:r>
        <w:t xml:space="preserve"> </w:t>
      </w:r>
      <w:r>
        <w:t xml:space="preserve">complement-dependent cytotoxicity (CDC) component; both are governed by the Fc</w:t>
      </w:r>
      <w:r>
        <w:t xml:space="preserve"> </w:t>
      </w:r>
      <w:r>
        <w:t xml:space="preserve">N-glycosylation profile</w:t>
      </w:r>
      <w:r>
        <w:t xml:space="preserve"> </w:t>
      </w:r>
      <w:r>
        <w:t xml:space="preserve">(CMC Biotech Working Group 2009)</w:t>
      </w:r>
      <w:r>
        <w:t xml:space="preserve">. The production bioreactor is a fed-batch</w:t>
      </w:r>
      <w:r>
        <w:t xml:space="preserve"> </w:t>
      </w:r>
      <w:r>
        <w:t xml:space="preserve">mammalian cell culture operated at 15,000 L</w:t>
      </w:r>
      <w:r>
        <w:t xml:space="preserve"> </w:t>
      </w:r>
      <w:r>
        <w:t xml:space="preserve">working volume. It is the only upstream operation that forms product-quality CQAs</w:t>
      </w:r>
      <w:r>
        <w:t xml:space="preserve"> </w:t>
      </w:r>
      <w:r>
        <w:t xml:space="preserve">and is therefore the sole upstream step used to define the upstream design space;</w:t>
      </w:r>
      <w:r>
        <w:t xml:space="preserve"> </w:t>
      </w:r>
      <w:r>
        <w:t xml:space="preserve">the seed-expansion and harvest operations influence titer and process consistency</w:t>
      </w:r>
      <w:r>
        <w:t xml:space="preserve"> </w:t>
      </w:r>
      <w:r>
        <w:t xml:space="preserve">but do not form or modify product-quality attributes</w:t>
      </w:r>
      <w:r>
        <w:t xml:space="preserve"> </w:t>
      </w:r>
      <w:r>
        <w:t xml:space="preserve">(CMC Biotech Working Group 2009)</w:t>
      </w:r>
      <w:r>
        <w:t xml:space="preserve">. Product quality</w:t>
      </w:r>
      <w:r>
        <w:t xml:space="preserve"> </w:t>
      </w:r>
      <w:r>
        <w:t xml:space="preserve">established in the bioreactor — afucosylation, high mannose, galactosylation, acidic</w:t>
      </w:r>
      <w:r>
        <w:t xml:space="preserve"> </w:t>
      </w:r>
      <w:r>
        <w:t xml:space="preserve">charge variants and aggregate, together with the host-cell protein (HCP) and DNA</w:t>
      </w:r>
      <w:r>
        <w:t xml:space="preserve"> </w:t>
      </w:r>
      <w:r>
        <w:t xml:space="preserve">impurity load presented to the purification train — is the subject of this</w:t>
      </w:r>
      <w:r>
        <w:t xml:space="preserve"> </w:t>
      </w:r>
      <w:r>
        <w:t xml:space="preserve">characterization.</w:t>
      </w:r>
    </w:p>
    <w:bookmarkEnd w:id="13"/>
    <w:bookmarkStart w:id="14" w:name="objectives"/>
    <w:p>
      <w:pPr>
        <w:pStyle w:val="Heading2"/>
      </w:pPr>
      <w:r>
        <w:t xml:space="preserve">1.2 Objectives</w:t>
      </w:r>
    </w:p>
    <w:p>
      <w:pPr>
        <w:pStyle w:val="FirstParagraph"/>
      </w:pPr>
      <w:r>
        <w:t xml:space="preserve">The objectives of the study were to (i) establish the quantitative relationships</w:t>
      </w:r>
      <w:r>
        <w:t xml:space="preserve"> </w:t>
      </w:r>
      <w:r>
        <w:t xml:space="preserve">between the production-bioreactor process parameters and the cell-culture CQAs;</w:t>
      </w:r>
      <w:r>
        <w:t xml:space="preserve"> </w:t>
      </w:r>
      <w:r>
        <w:t xml:space="preserve">(ii) define the multivariate design space over which all CQAs are met</w:t>
      </w:r>
      <w:r>
        <w:t xml:space="preserve"> </w:t>
      </w:r>
      <w:r>
        <w:t xml:space="preserve">simultaneously; (iii) establish proven acceptable ranges (PARs) and normal</w:t>
      </w:r>
      <w:r>
        <w:t xml:space="preserve"> </w:t>
      </w:r>
      <w:r>
        <w:t xml:space="preserve">operating ranges (NORs) for each parameter; (iv) classify each parameter for its</w:t>
      </w:r>
      <w:r>
        <w:t xml:space="preserve"> </w:t>
      </w:r>
      <w:r>
        <w:t xml:space="preserve">risk of impact to CQAs and to process performance; and (v) provide the process</w:t>
      </w:r>
      <w:r>
        <w:t xml:space="preserve"> </w:t>
      </w:r>
      <w:r>
        <w:t xml:space="preserve">understanding and ranges that justify the Stage 2 operating conditions and the</w:t>
      </w:r>
      <w:r>
        <w:t xml:space="preserve"> </w:t>
      </w:r>
      <w:r>
        <w:t xml:space="preserve">control strategy.</w:t>
      </w:r>
    </w:p>
    <w:bookmarkEnd w:id="14"/>
    <w:bookmarkStart w:id="15" w:name="regulatory-and-scientific-basis"/>
    <w:p>
      <w:pPr>
        <w:pStyle w:val="Heading2"/>
      </w:pPr>
      <w:r>
        <w:t xml:space="preserve">1.3 Regulatory and scientific basis</w:t>
      </w:r>
    </w:p>
    <w:p>
      <w:pPr>
        <w:pStyle w:val="FirstParagraph"/>
      </w:pPr>
      <w:r>
        <w:t xml:space="preserve">The work follows the lifecycle approach to process validation of the FDA 2011</w:t>
      </w:r>
      <w:r>
        <w:t xml:space="preserve"> </w:t>
      </w:r>
      <w:r>
        <w:t xml:space="preserve">guidance</w:t>
      </w:r>
      <w:r>
        <w:t xml:space="preserve"> </w:t>
      </w:r>
      <w:r>
        <w:t xml:space="preserve">(U.S. Food and Drug Administration 2011)</w:t>
      </w:r>
      <w:r>
        <w:t xml:space="preserve">, PDA Technical Report 60</w:t>
      </w:r>
      <w:r>
        <w:t xml:space="preserve"> </w:t>
      </w:r>
      <w:r>
        <w:t xml:space="preserve">(Parenteral Drug Association 2013)</w:t>
      </w:r>
      <w:r>
        <w:t xml:space="preserve"> </w:t>
      </w:r>
      <w:r>
        <w:t xml:space="preserve">and the ISPE Good Practice</w:t>
      </w:r>
      <w:r>
        <w:t xml:space="preserve"> </w:t>
      </w:r>
      <w:r>
        <w:t xml:space="preserve">Guide</w:t>
      </w:r>
      <w:r>
        <w:t xml:space="preserve"> </w:t>
      </w:r>
      <w:r>
        <w:t xml:space="preserve">(International Society for Pharmaceutical Engineering 2023)</w:t>
      </w:r>
      <w:r>
        <w:t xml:space="preserve">, and applies the enhanced (QbD) development approach of ICH Q8,</w:t>
      </w:r>
      <w:r>
        <w:t xml:space="preserve"> </w:t>
      </w:r>
      <w:r>
        <w:t xml:space="preserve">Q9 and Q11</w:t>
      </w:r>
      <w:r>
        <w:t xml:space="preserve"> </w:t>
      </w:r>
      <w:r>
        <w:t xml:space="preserve">(International Council for Harmonisation 2009, 2023, 2012)</w:t>
      </w:r>
      <w:r>
        <w:t xml:space="preserve">. Criticality is treated as a continuum</w:t>
      </w:r>
      <w:r>
        <w:t xml:space="preserve"> </w:t>
      </w:r>
      <w:r>
        <w:t xml:space="preserve">(ICH Q9). The report structure corresponds to the Stage 1 Process Design Report of</w:t>
      </w:r>
      <w:r>
        <w:t xml:space="preserve"> </w:t>
      </w:r>
      <w:r>
        <w:t xml:space="preserve">PDA TR 60 §3.11 and provides development-report content suitable to support a</w:t>
      </w:r>
      <w:r>
        <w:t xml:space="preserve"> </w:t>
      </w:r>
      <w:r>
        <w:t xml:space="preserve">Biologics License Application.</w:t>
      </w:r>
    </w:p>
    <w:bookmarkEnd w:id="15"/>
    <w:bookmarkEnd w:id="16"/>
    <w:bookmarkStart w:id="21" w:name="prior-knowledge-and-quality-risk-basis"/>
    <w:p>
      <w:pPr>
        <w:pStyle w:val="Heading1"/>
      </w:pPr>
      <w:r>
        <w:t xml:space="preserve">2. Prior knowledge and quality risk basis</w:t>
      </w:r>
    </w:p>
    <w:bookmarkStart w:id="17" w:name="platform-and-prior-product-knowledge"/>
    <w:p>
      <w:pPr>
        <w:pStyle w:val="Heading2"/>
      </w:pPr>
      <w:r>
        <w:t xml:space="preserve">2.1 Platform and prior-product knowledge</w:t>
      </w:r>
    </w:p>
    <w:p>
      <w:pPr>
        <w:pStyle w:val="FirstParagraph"/>
      </w:pPr>
      <w:r>
        <w:t xml:space="preserve">The characterization ranges and set-points are supported by platform knowledge from</w:t>
      </w:r>
      <w:r>
        <w:t xml:space="preserve"> </w:t>
      </w:r>
      <w:r>
        <w:t xml:space="preserve">related humanized IgG1 antibodies (referred to as X-Mab, Y-Mab and Z-Mab) and by</w:t>
      </w:r>
      <w:r>
        <w:t xml:space="preserve"> </w:t>
      </w:r>
      <w:r>
        <w:t xml:space="preserve">A-Mab clinical and engineering manufacturing experience</w:t>
      </w:r>
      <w:r>
        <w:t xml:space="preserve"> </w:t>
      </w:r>
      <w:r>
        <w:t xml:space="preserve">(CMC Biotech Working Group 2009)</w:t>
      </w:r>
      <w:r>
        <w:t xml:space="preserve">. Prior knowledge</w:t>
      </w:r>
      <w:r>
        <w:t xml:space="preserve"> </w:t>
      </w:r>
      <w:r>
        <w:t xml:space="preserve">established that Fc glycosylation (afucosylation, high mannose, galactosylation)</w:t>
      </w:r>
      <w:r>
        <w:t xml:space="preserve"> </w:t>
      </w:r>
      <w:r>
        <w:t xml:space="preserve">governs ADCC/CDC potency and is set in cell culture; that aggregate formed in</w:t>
      </w:r>
      <w:r>
        <w:t xml:space="preserve"> </w:t>
      </w:r>
      <w:r>
        <w:t xml:space="preserve">culture is subsequently polished downstream; and that the harvest HCP and DNA burden</w:t>
      </w:r>
      <w:r>
        <w:t xml:space="preserve"> </w:t>
      </w:r>
      <w:r>
        <w:t xml:space="preserve">is generated upstream and cleared by the purification train. This knowledge framed</w:t>
      </w:r>
      <w:r>
        <w:t xml:space="preserve"> </w:t>
      </w:r>
      <w:r>
        <w:t xml:space="preserve">the CQAs in scope and the prioritization of parameters for characterization.</w:t>
      </w:r>
    </w:p>
    <w:bookmarkEnd w:id="17"/>
    <w:bookmarkStart w:id="19" w:name="X20cc65092f6a5656568d43d433a250367816190"/>
    <w:p>
      <w:pPr>
        <w:pStyle w:val="Heading2"/>
      </w:pPr>
      <w:r>
        <w:t xml:space="preserve">2.2 Quality attributes affected by the production bioreactor</w:t>
      </w:r>
    </w:p>
    <w:p>
      <w:pPr>
        <w:pStyle w:val="FirstParagraph"/>
      </w:pPr>
      <w:hyperlink w:anchor="tbl-cqa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summarizes the CQAs set or principally established by the production</w:t>
      </w:r>
      <w:r>
        <w:t xml:space="preserve"> </w:t>
      </w:r>
      <w:r>
        <w:t xml:space="preserve">bioreactor, with their acceptance criteria and criticality. Criticality is scored on</w:t>
      </w:r>
      <w:r>
        <w:t xml:space="preserve"> </w:t>
      </w:r>
      <w:r>
        <w:t xml:space="preserve">the A-Mab continuum using Tool #1 (Risk Score = Impact × Uncertainty); attributes</w:t>
      </w:r>
      <w:r>
        <w:t xml:space="preserve"> </w:t>
      </w:r>
      <w:r>
        <w:t xml:space="preserve">rated High (H) or Very High (VH) are treated as</w:t>
      </w:r>
      <w:r>
        <w:t xml:space="preserve"> </w:t>
      </w:r>
      <w:r>
        <w:rPr>
          <w:i/>
          <w:iCs/>
        </w:rPr>
        <w:t xml:space="preserve">Critical</w:t>
      </w:r>
      <w:r>
        <w:t xml:space="preserve"> </w:t>
      </w:r>
      <w:r>
        <w:t xml:space="preserve">(CMC Biotech Working Group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cq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CQAs established by the production bioreactor, with acceptance criteria and criticality (Tool #1 = Impact × Uncertainty; H/VH = Critical).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839"/>
              <w:gridCol w:w="1344"/>
              <w:gridCol w:w="1793"/>
              <w:gridCol w:w="1120"/>
              <w:gridCol w:w="8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Criticality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Tool #1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10–40 % (G1+G2 equiv.)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glycosylation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3–10 % of glycans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0–5 % HMW (SEC)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18–40 % (CEX/icIEF)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 ng/mg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process impurity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0–0.001 ng/dose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glycosylation attributes are the most critical because they govern potency;</w:t>
      </w:r>
      <w:r>
        <w:t xml:space="preserve"> </w:t>
      </w:r>
      <w:r>
        <w:t xml:space="preserve">afucosylation and galactosylation are managed within target ranges, whereas high</w:t>
      </w:r>
      <w:r>
        <w:t xml:space="preserve"> </w:t>
      </w:r>
      <w:r>
        <w:t xml:space="preserve">mannose (Very High criticality) is controlled to a narrow upper limit. Aggregate is</w:t>
      </w:r>
      <w:r>
        <w:t xml:space="preserve"> </w:t>
      </w:r>
      <w:r>
        <w:t xml:space="preserve">established in culture and polished at cation exchange; acidic charge variants,</w:t>
      </w:r>
      <w:r>
        <w:t xml:space="preserve"> </w:t>
      </w:r>
      <w:r>
        <w:t xml:space="preserve">HCP and residual DNA are followed here as they load the purification train.</w:t>
      </w:r>
    </w:p>
    <w:bookmarkEnd w:id="19"/>
    <w:bookmarkStart w:id="20" w:name="X8e350aaf11e00001962f0e94cfe08bc5c1a6d7b"/>
    <w:p>
      <w:pPr>
        <w:pStyle w:val="Heading2"/>
      </w:pPr>
      <w:r>
        <w:t xml:space="preserve">2.3 Risk-based prioritization and parameter selection</w:t>
      </w:r>
    </w:p>
    <w:p>
      <w:pPr>
        <w:pStyle w:val="FirstParagraph"/>
      </w:pPr>
      <w:r>
        <w:t xml:space="preserve">Consistent with the A-Mab lifecycle of iterative risk assessments, the</w:t>
      </w:r>
      <w:r>
        <w:t xml:space="preserve"> </w:t>
      </w:r>
      <w:r>
        <w:t xml:space="preserve">characterization scope was set by the Pre-Characterization Process Risk Assessment</w:t>
      </w:r>
      <w:r>
        <w:t xml:space="preserve"> </w:t>
      </w:r>
      <w:r>
        <w:t xml:space="preserve">(</w:t>
      </w:r>
      <w:r>
        <w:rPr>
          <w:b/>
          <w:bCs/>
        </w:rPr>
        <w:t xml:space="preserve">RA-001</w:t>
      </w:r>
      <w:r>
        <w:t xml:space="preserve">), which used prior knowledge and a risk-ranking-and-filtering screen to</w:t>
      </w:r>
      <w:r>
        <w:t xml:space="preserve"> </w:t>
      </w:r>
      <w:r>
        <w:t xml:space="preserve">prioritize parameters and to assign the study type. Parameters with a credible</w:t>
      </w:r>
      <w:r>
        <w:t xml:space="preserve"> </w:t>
      </w:r>
      <w:r>
        <w:t xml:space="preserve">main-effect and interaction risk to the glycan and charge-variant CQAs (culture pH,</w:t>
      </w:r>
      <w:r>
        <w:t xml:space="preserve"> </w:t>
      </w:r>
      <w:r>
        <w:t xml:space="preserve">temperature, dissolved CO₂, osmolality and culture duration) were assigned to the</w:t>
      </w:r>
      <w:r>
        <w:t xml:space="preserve"> </w:t>
      </w:r>
      <w:r>
        <w:t xml:space="preserve">multivariate DoE; parameters expected to affect only process performance were</w:t>
      </w:r>
      <w:r>
        <w:t xml:space="preserve"> </w:t>
      </w:r>
      <w:r>
        <w:t xml:space="preserve">assigned to univariate assessment or held at their set-point</w:t>
      </w:r>
      <w:r>
        <w:t xml:space="preserve"> </w:t>
      </w:r>
      <w:r>
        <w:t xml:space="preserve">(CMC Biotech Working Group 2009; Parenteral Drug Association 2013)</w:t>
      </w:r>
      <w:r>
        <w:t xml:space="preserve">.</w:t>
      </w:r>
      <w:r>
        <w:t xml:space="preserve"> </w:t>
      </w:r>
      <w:r>
        <w:t xml:space="preserve">The parameters and ranges carried into this study are given in</w:t>
      </w:r>
      <w:r>
        <w:t xml:space="preserve"> 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(§5.1).</w:t>
      </w:r>
    </w:p>
    <w:bookmarkEnd w:id="20"/>
    <w:bookmarkEnd w:id="21"/>
    <w:bookmarkStart w:id="28" w:name="materials-and-methods"/>
    <w:p>
      <w:pPr>
        <w:pStyle w:val="Heading1"/>
      </w:pPr>
      <w:r>
        <w:t xml:space="preserve">3. Materials and methods</w:t>
      </w:r>
    </w:p>
    <w:bookmarkStart w:id="22" w:name="scale-down-model-and-its-qualification"/>
    <w:p>
      <w:pPr>
        <w:pStyle w:val="Heading2"/>
      </w:pPr>
      <w:r>
        <w:t xml:space="preserve">3.1 Scale-down model and its qualification</w:t>
      </w:r>
    </w:p>
    <w:p>
      <w:pPr>
        <w:pStyle w:val="FirstParagraph"/>
      </w:pPr>
      <w:r>
        <w:t xml:space="preserve">All characterization runs were performed on a qualified 2 L bench-scale bioreactor</w:t>
      </w:r>
      <w:r>
        <w:t xml:space="preserve"> </w:t>
      </w:r>
      <w:r>
        <w:t xml:space="preserve">operated at the commercial working-volume equivalent for pH, temperature, dissolved</w:t>
      </w:r>
      <w:r>
        <w:t xml:space="preserve"> </w:t>
      </w:r>
      <w:r>
        <w:t xml:space="preserve">oxygen and CO₂ control, gas sparging, agitation power per unit volume and feeding</w:t>
      </w:r>
      <w:r>
        <w:t xml:space="preserve"> </w:t>
      </w:r>
      <w:r>
        <w:t xml:space="preserve">strategy (</w:t>
      </w:r>
      <w:r>
        <w:rPr>
          <w:b/>
          <w:bCs/>
        </w:rPr>
        <w:t xml:space="preserve">SOP-2003</w:t>
      </w:r>
      <w:r>
        <w:t xml:space="preserve">,</w:t>
      </w:r>
      <w:r>
        <w:t xml:space="preserve"> </w:t>
      </w:r>
      <w:r>
        <w:rPr>
          <w:b/>
          <w:bCs/>
        </w:rPr>
        <w:t xml:space="preserve">SOP-2004</w:t>
      </w:r>
      <w:r>
        <w:t xml:space="preserve">). The SDM was qualified against at-scale</w:t>
      </w:r>
      <w:r>
        <w:t xml:space="preserve"> </w:t>
      </w:r>
      <w:r>
        <w:t xml:space="preserve">reference data (</w:t>
      </w:r>
      <w:r>
        <w:rPr>
          <w:b/>
          <w:bCs/>
        </w:rPr>
        <w:t xml:space="preserve">SOP-1001</w:t>
      </w:r>
      <w:r>
        <w:t xml:space="preserve">) by comparing both the operational parameters and,</w:t>
      </w:r>
      <w:r>
        <w:t xml:space="preserve"> </w:t>
      </w:r>
      <w:r>
        <w:t xml:space="preserve">critically, the input and output quality attributes — viable cell density,</w:t>
      </w:r>
      <w:r>
        <w:t xml:space="preserve"> </w:t>
      </w:r>
      <w:r>
        <w:t xml:space="preserve">viability, titer, and the afucosylation, galactosylation, high-mannose,</w:t>
      </w:r>
      <w:r>
        <w:t xml:space="preserve"> </w:t>
      </w:r>
      <w:r>
        <w:t xml:space="preserve">charge-variant, aggregate, HCP and DNA profiles — confirming that the model is</w:t>
      </w:r>
      <w:r>
        <w:t xml:space="preserve"> </w:t>
      </w:r>
      <w:r>
        <w:t xml:space="preserve">representative and suitable to support design-space and PAR claims</w:t>
      </w:r>
      <w:r>
        <w:t xml:space="preserve"> </w:t>
      </w:r>
      <w:r>
        <w:t xml:space="preserve">(Parenteral Drug Association 2013)</w:t>
      </w:r>
      <w:r>
        <w:t xml:space="preserve">. The</w:t>
      </w:r>
      <w:r>
        <w:t xml:space="preserve"> </w:t>
      </w:r>
      <w:r>
        <w:t xml:space="preserve">between-run reproducibility of the center-point condition (§6.1) provides a direct,</w:t>
      </w:r>
      <w:r>
        <w:t xml:space="preserve"> </w:t>
      </w:r>
      <w:r>
        <w:t xml:space="preserve">quantitative estimate of model precision and is used as the pure-error term in the</w:t>
      </w:r>
      <w:r>
        <w:t xml:space="preserve"> </w:t>
      </w:r>
      <w:r>
        <w:t xml:space="preserve">lack-of-fit assessment of every response-surface model.</w:t>
      </w:r>
    </w:p>
    <w:bookmarkEnd w:id="22"/>
    <w:bookmarkStart w:id="23" w:name="cell-line-media-and-culture-operation"/>
    <w:p>
      <w:pPr>
        <w:pStyle w:val="Heading2"/>
      </w:pPr>
      <w:r>
        <w:t xml:space="preserve">3.2 Cell line, media and culture operation</w:t>
      </w:r>
    </w:p>
    <w:p>
      <w:pPr>
        <w:pStyle w:val="FirstParagraph"/>
      </w:pPr>
      <w:r>
        <w:t xml:space="preserve">The production culture is a fed-batch process inoculated from the N-1 seed</w:t>
      </w:r>
      <w:r>
        <w:t xml:space="preserve"> </w:t>
      </w:r>
      <w:r>
        <w:t xml:space="preserve">bioreactor at the target initial viable cell concentration, using platform basal</w:t>
      </w:r>
      <w:r>
        <w:t xml:space="preserve"> </w:t>
      </w:r>
      <w:r>
        <w:t xml:space="preserve">medium and a bolus nutrient feed (</w:t>
      </w:r>
      <w:r>
        <w:rPr>
          <w:b/>
          <w:bCs/>
        </w:rPr>
        <w:t xml:space="preserve">SOP-2004</w:t>
      </w:r>
      <w:r>
        <w:t xml:space="preserve">). Culture pH, temperature, dissolved</w:t>
      </w:r>
      <w:r>
        <w:t xml:space="preserve"> </w:t>
      </w:r>
      <w:r>
        <w:t xml:space="preserve">oxygen and dissolved CO₂ are controlled to set-point by the bioreactor control</w:t>
      </w:r>
      <w:r>
        <w:t xml:space="preserve"> </w:t>
      </w:r>
      <w:r>
        <w:t xml:space="preserve">system; osmolality is a monitored culture attribute governed by the feed and base</w:t>
      </w:r>
      <w:r>
        <w:t xml:space="preserve"> </w:t>
      </w:r>
      <w:r>
        <w:t xml:space="preserve">addition; and the culture is harvested on the nominal duration criterion. Raw</w:t>
      </w:r>
      <w:r>
        <w:t xml:space="preserve"> </w:t>
      </w:r>
      <w:r>
        <w:t xml:space="preserve">materials and cell-culture media are controlled to platform specifications and are</w:t>
      </w:r>
      <w:r>
        <w:t xml:space="preserve"> </w:t>
      </w:r>
      <w:r>
        <w:t xml:space="preserve">treated as identity/quality-controlled inputs rather than characterized variables,</w:t>
      </w:r>
      <w:r>
        <w:t xml:space="preserve"> </w:t>
      </w:r>
      <w:r>
        <w:t xml:space="preserve">consistent with the A-Mab platform approach</w:t>
      </w:r>
      <w:r>
        <w:t xml:space="preserve"> </w:t>
      </w:r>
      <w:r>
        <w:t xml:space="preserve">(CMC Biotech Working Group 2009)</w:t>
      </w:r>
      <w:r>
        <w:t xml:space="preserve">.</w:t>
      </w:r>
    </w:p>
    <w:bookmarkEnd w:id="23"/>
    <w:bookmarkStart w:id="25" w:name="analytical-methods"/>
    <w:p>
      <w:pPr>
        <w:pStyle w:val="Heading2"/>
      </w:pPr>
      <w:r>
        <w:t xml:space="preserve">3.3 Analytical methods</w:t>
      </w:r>
    </w:p>
    <w:p>
      <w:pPr>
        <w:pStyle w:val="FirstParagraph"/>
      </w:pPr>
      <w:r>
        <w:t xml:space="preserve">CQAs were measured by validated methods (</w:t>
      </w:r>
      <w:hyperlink w:anchor="tbl-methods">
        <w:r>
          <w:rPr>
            <w:rStyle w:val="Hyperlink"/>
          </w:rPr>
          <w:t xml:space="preserve">Table 3</w:t>
        </w:r>
      </w:hyperlink>
      <w:r>
        <w:t xml:space="preserve">). Released N-glycans were</w:t>
      </w:r>
      <w:r>
        <w:t xml:space="preserve"> </w:t>
      </w:r>
      <w:r>
        <w:t xml:space="preserve">determined by 2-AB HILIC-UPLC (</w:t>
      </w:r>
      <w:r>
        <w:rPr>
          <w:b/>
          <w:bCs/>
        </w:rPr>
        <w:t xml:space="preserve">AMV-3010</w:t>
      </w:r>
      <w:r>
        <w:t xml:space="preserve">); size variants (aggregate/HMW) by</w:t>
      </w:r>
      <w:r>
        <w:t xml:space="preserve"> </w:t>
      </w:r>
      <w:r>
        <w:t xml:space="preserve">SEC-HPLC (</w:t>
      </w:r>
      <w:r>
        <w:rPr>
          <w:b/>
          <w:bCs/>
        </w:rPr>
        <w:t xml:space="preserve">AMV-3011</w:t>
      </w:r>
      <w:r>
        <w:t xml:space="preserve">); HCP by ELISA (</w:t>
      </w:r>
      <w:r>
        <w:rPr>
          <w:b/>
          <w:bCs/>
        </w:rPr>
        <w:t xml:space="preserve">AMV-3012</w:t>
      </w:r>
      <w:r>
        <w:t xml:space="preserve">); charge variants by imaged</w:t>
      </w:r>
      <w:r>
        <w:t xml:space="preserve"> </w:t>
      </w:r>
      <w:r>
        <w:t xml:space="preserve">capillary isoelectric focusing (</w:t>
      </w:r>
      <w:r>
        <w:rPr>
          <w:b/>
          <w:bCs/>
        </w:rPr>
        <w:t xml:space="preserve">AMV-3013</w:t>
      </w:r>
      <w:r>
        <w:t xml:space="preserve">); and residual host-cell DNA by qPCR</w:t>
      </w:r>
      <w:r>
        <w:t xml:space="preserve"> </w:t>
      </w:r>
      <w:r>
        <w:t xml:space="preserve">(</w:t>
      </w:r>
      <w:r>
        <w:rPr>
          <w:b/>
          <w:bCs/>
        </w:rPr>
        <w:t xml:space="preserve">AMV-3014</w:t>
      </w:r>
      <w:r>
        <w:t xml:space="preserve">). Method performance characteristics are summarized in Appendix 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metho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Validated analytical methods used in the characterization.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Reference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Title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N-Glycan Map (2-AB HILIC-UPLC)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Size-Variants (SEC-HPLC)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Host-Cell Protein ELISA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Charge Variants (icIEF)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 DNA (qPCR)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Method validation</w:t>
                  </w:r>
                </w:p>
              </w:tc>
            </w:tr>
          </w:tbl>
          <w:bookmarkEnd w:id="24"/>
          <w:p/>
        </w:tc>
      </w:tr>
    </w:tbl>
    <w:bookmarkEnd w:id="25"/>
    <w:bookmarkStart w:id="26" w:name="sampling-plan"/>
    <w:p>
      <w:pPr>
        <w:pStyle w:val="Heading2"/>
      </w:pPr>
      <w:r>
        <w:t xml:space="preserve">3.4 Sampling plan</w:t>
      </w:r>
    </w:p>
    <w:p>
      <w:pPr>
        <w:pStyle w:val="FirstParagraph"/>
      </w:pPr>
      <w:r>
        <w:t xml:space="preserve">Each DoE run was sampled at harvest for the released CQAs (glycan map, charge</w:t>
      </w:r>
      <w:r>
        <w:t xml:space="preserve"> </w:t>
      </w:r>
      <w:r>
        <w:t xml:space="preserve">variants, aggregate) and for the harvest HCP and residual-DNA load; daily process</w:t>
      </w:r>
      <w:r>
        <w:t xml:space="preserve"> </w:t>
      </w:r>
      <w:r>
        <w:t xml:space="preserve">samples (viable cell density, viability, metabolites, pH/pCO₂ verification) were</w:t>
      </w:r>
      <w:r>
        <w:t xml:space="preserve"> </w:t>
      </w:r>
      <w:r>
        <w:t xml:space="preserve">taken to confirm culture trajectory. Center-point runs were replicated within each</w:t>
      </w:r>
      <w:r>
        <w:t xml:space="preserve"> </w:t>
      </w:r>
      <w:r>
        <w:t xml:space="preserve">design (three in screening, four in the response-surface design) to quantify</w:t>
      </w:r>
      <w:r>
        <w:t xml:space="preserve"> </w:t>
      </w:r>
      <w:r>
        <w:t xml:space="preserve">reproducibility and pure error.</w:t>
      </w:r>
    </w:p>
    <w:bookmarkEnd w:id="26"/>
    <w:bookmarkStart w:id="27" w:name="statistical-methods"/>
    <w:p>
      <w:pPr>
        <w:pStyle w:val="Heading2"/>
      </w:pPr>
      <w:r>
        <w:t xml:space="preserve">3.5 Statistical methods</w:t>
      </w:r>
    </w:p>
    <w:p>
      <w:pPr>
        <w:pStyle w:val="FirstParagraph"/>
      </w:pPr>
      <w:r>
        <w:t xml:space="preserve">Designs were constructed and analyzed in coded factors, with each parameter’s</w:t>
      </w:r>
      <w:r>
        <w:t xml:space="preserve"> </w:t>
      </w:r>
      <w:r>
        <w:t xml:space="preserve">characterization range mapped so that the set-point is 0 and the range edges are</w:t>
      </w:r>
      <w:r>
        <w:t xml:space="preserve"> </w:t>
      </w:r>
      <w:r>
        <w:t xml:space="preserve">±1 (</w:t>
      </w:r>
      <w:r>
        <w:rPr>
          <w:b/>
          <w:bCs/>
        </w:rPr>
        <w:t xml:space="preserve">SOP-1002</w:t>
      </w:r>
      <w:r>
        <w:t xml:space="preserve">). Screening data were analyzed by ordinary-least-squares regression</w:t>
      </w:r>
      <w:r>
        <w:t xml:space="preserve"> </w:t>
      </w:r>
      <w:r>
        <w:t xml:space="preserve">of each response on the main effects and all two-factor interactions; factor</w:t>
      </w:r>
      <w:r>
        <w:t xml:space="preserve"> </w:t>
      </w:r>
      <w:r>
        <w:rPr>
          <w:i/>
          <w:iCs/>
        </w:rPr>
        <w:t xml:space="preserve">effects</w:t>
      </w:r>
      <w:r>
        <w:t xml:space="preserve"> </w:t>
      </w:r>
      <w:r>
        <w:t xml:space="preserve">are reported as twice the coded coefficient. Response-surface data were</w:t>
      </w:r>
      <w:r>
        <w:t xml:space="preserve"> </w:t>
      </w:r>
      <w:r>
        <w:t xml:space="preserve">analyzed with the full quadratic model (main effects, two-factor interactions and</w:t>
      </w:r>
      <w:r>
        <w:t xml:space="preserve"> </w:t>
      </w:r>
      <w:r>
        <w:t xml:space="preserve">pure-quadratic terms). Statistical significance was assessed at α = 0.05. Model</w:t>
      </w:r>
      <w:r>
        <w:t xml:space="preserve"> </w:t>
      </w:r>
      <w:r>
        <w:t xml:space="preserve">adequacy was judged by the coefficient of determination (R²), the adjusted R², the</w:t>
      </w:r>
      <w:r>
        <w:t xml:space="preserve"> </w:t>
      </w:r>
      <w:r>
        <w:t xml:space="preserve">predicted R² (computed from the PRESS statistic by leave-one-out), the overall model</w:t>
      </w:r>
      <w:r>
        <w:t xml:space="preserve"> </w:t>
      </w:r>
      <w:r>
        <w:t xml:space="preserve">F-test, and an analysis of variance partitioning the residual into lack of fit and</w:t>
      </w:r>
      <w:r>
        <w:t xml:space="preserve"> </w:t>
      </w:r>
      <w:r>
        <w:t xml:space="preserve">pure error, the latter estimated from the replicated center points; a</w:t>
      </w:r>
      <w:r>
        <w:t xml:space="preserve"> </w:t>
      </w:r>
      <w:r>
        <w:t xml:space="preserve">non-significant lack-of-fit F-test (p &gt; 0.05) indicates an adequate model. The</w:t>
      </w:r>
      <w:r>
        <w:t xml:space="preserve"> </w:t>
      </w:r>
      <w:r>
        <w:t xml:space="preserve">design space was defined as the multivariate region of the four dominant factors</w:t>
      </w:r>
      <w:r>
        <w:t xml:space="preserve"> </w:t>
      </w:r>
      <w:r>
        <w:t xml:space="preserve">over which every CQA response satisfies its acceptance criterion simultaneously.</w:t>
      </w:r>
      <w:r>
        <w:t xml:space="preserve"> </w:t>
      </w:r>
      <w:r>
        <w:t xml:space="preserve">Commercial-scale process capability was estimated by Monte-Carlo simulation of</w:t>
      </w:r>
      <w:r>
        <w:t xml:space="preserve"> </w:t>
      </w:r>
      <w:r>
        <w:t xml:space="preserve">2,000 batches with each parameter varied within its</w:t>
      </w:r>
      <w:r>
        <w:t xml:space="preserve"> </w:t>
      </w:r>
      <w:r>
        <w:t xml:space="preserve">NOR, reporting the process-capability index (Cpk) one-sided for impurity CQAs and</w:t>
      </w:r>
      <w:r>
        <w:t xml:space="preserve"> </w:t>
      </w:r>
      <w:r>
        <w:t xml:space="preserve">two-sided for target-range CQAs.</w:t>
      </w:r>
    </w:p>
    <w:bookmarkEnd w:id="27"/>
    <w:bookmarkEnd w:id="28"/>
    <w:bookmarkStart w:id="35" w:name="study-design"/>
    <w:p>
      <w:pPr>
        <w:pStyle w:val="Heading1"/>
      </w:pPr>
      <w:r>
        <w:t xml:space="preserve">4. Study design</w:t>
      </w:r>
    </w:p>
    <w:bookmarkStart w:id="31" w:name="factors-ranges-and-the-knowledge-space"/>
    <w:p>
      <w:pPr>
        <w:pStyle w:val="Heading2"/>
      </w:pPr>
      <w:r>
        <w:t xml:space="preserve">4.1 Factors, ranges and the knowledge space</w:t>
      </w:r>
    </w:p>
    <w:p>
      <w:pPr>
        <w:pStyle w:val="FirstParagraph"/>
      </w:pPr>
      <w:r>
        <w:t xml:space="preserve">Nine parameters were studied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). The characterization range of each</w:t>
      </w:r>
      <w:r>
        <w:t xml:space="preserve"> </w:t>
      </w:r>
      <w:r>
        <w:t xml:space="preserve">multivariate factor (</w:t>
      </w:r>
      <w:r>
        <w:t xml:space="preserve">“PAR”</w:t>
      </w:r>
      <w:r>
        <w:t xml:space="preserve"> </w:t>
      </w:r>
      <w:r>
        <w:t xml:space="preserve">column) defines the edges of the explored knowledge space</w:t>
      </w:r>
      <w:r>
        <w:t xml:space="preserve"> </w:t>
      </w:r>
      <w:r>
        <w:t xml:space="preserve">and the basis of the proven acceptable range; the NOR is the tighter range at which</w:t>
      </w:r>
      <w:r>
        <w:t xml:space="preserve"> </w:t>
      </w:r>
      <w:r>
        <w:t xml:space="preserve">the parameter is controlled routinely. The DoE factor coding is given in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param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Production-bioreactor process parameters, set-points, ranges and post-characterization classification.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86"/>
              <w:gridCol w:w="1061"/>
              <w:gridCol w:w="1061"/>
              <w:gridCol w:w="898"/>
              <w:gridCol w:w="734"/>
              <w:gridCol w:w="734"/>
              <w:gridCol w:w="114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Set-point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6.75–6.95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6.6–7.1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34.5–35.5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34–36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70–130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40–160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375–425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360–440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16–18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15–19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sat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40–60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30–70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e6 cells/mL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0.5–1.5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1–1.4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0.8–1.6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% WV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9–15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2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lege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Design-of-experiments factor legend (coded A–E).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Studied 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°C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mmHg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mOsm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days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screening + RSM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creening-design"/>
    <w:p>
      <w:pPr>
        <w:pStyle w:val="Heading2"/>
      </w:pPr>
      <w:r>
        <w:t xml:space="preserve">4.2 Screening design</w:t>
      </w:r>
    </w:p>
    <w:p>
      <w:pPr>
        <w:pStyle w:val="FirstParagraph"/>
      </w:pPr>
      <w:r>
        <w:t xml:space="preserve">Factor screening used a resolution-V two-level fractional factorial in the five</w:t>
      </w:r>
      <w:r>
        <w:t xml:space="preserve"> </w:t>
      </w:r>
      <w:r>
        <w:t xml:space="preserve">multivariate factors (A–E) with three center-point replicates,</w:t>
      </w:r>
      <w:r>
        <w:t xml:space="preserve"> </w:t>
      </w:r>
      <w:r>
        <w:t xml:space="preserve">19 runs in total. At resolution V, main effects are unconfounded with</w:t>
      </w:r>
      <w:r>
        <w:t xml:space="preserve"> </w:t>
      </w:r>
      <w:r>
        <w:t xml:space="preserve">one another and with two-factor interactions, so both can be estimated cleanly. The</w:t>
      </w:r>
      <w:r>
        <w:t xml:space="preserve"> </w:t>
      </w:r>
      <w:r>
        <w:t xml:space="preserve">five responses recorded for each run were afucosylation, galactosylation, high</w:t>
      </w:r>
      <w:r>
        <w:t xml:space="preserve"> </w:t>
      </w:r>
      <w:r>
        <w:t xml:space="preserve">mannose, acidic charge variants and aggregate. The complete coded design matrix and</w:t>
      </w:r>
      <w:r>
        <w:t xml:space="preserve"> </w:t>
      </w:r>
      <w:r>
        <w:t xml:space="preserve">run responses are given in Appendix A.</w:t>
      </w:r>
    </w:p>
    <w:bookmarkEnd w:id="32"/>
    <w:bookmarkStart w:id="33" w:name="response-surface-design"/>
    <w:p>
      <w:pPr>
        <w:pStyle w:val="Heading2"/>
      </w:pPr>
      <w:r>
        <w:t xml:space="preserve">4.3 Response-surface design</w:t>
      </w:r>
    </w:p>
    <w:p>
      <w:pPr>
        <w:pStyle w:val="FirstParagraph"/>
      </w:pPr>
      <w:r>
        <w:t xml:space="preserve">The four factors carried forward from screening (culture pH, temperature, culture</w:t>
      </w:r>
      <w:r>
        <w:t xml:space="preserve"> </w:t>
      </w:r>
      <w:r>
        <w:t xml:space="preserve">duration and dissolved CO₂ — codes A, B, E, C) were studied in a face-centred</w:t>
      </w:r>
      <w:r>
        <w:t xml:space="preserve"> </w:t>
      </w:r>
      <w:r>
        <w:t xml:space="preserve">central-composite design (cube points, axial points at the face centres, and four</w:t>
      </w:r>
      <w:r>
        <w:t xml:space="preserve"> </w:t>
      </w:r>
      <w:r>
        <w:t xml:space="preserve">center-point replicates), 28 runs in total, enabling estimation of</w:t>
      </w:r>
      <w:r>
        <w:t xml:space="preserve"> </w:t>
      </w:r>
      <w:r>
        <w:t xml:space="preserve">curvature in addition to main effects and interactions. The complete coded design</w:t>
      </w:r>
      <w:r>
        <w:t xml:space="preserve"> </w:t>
      </w:r>
      <w:r>
        <w:t xml:space="preserve">matrix and responses are given in Appendix B.</w:t>
      </w:r>
    </w:p>
    <w:bookmarkEnd w:id="33"/>
    <w:bookmarkStart w:id="34" w:name="univariate-assessment"/>
    <w:p>
      <w:pPr>
        <w:pStyle w:val="Heading2"/>
      </w:pPr>
      <w:r>
        <w:t xml:space="preserve">4.4 Univariate assessment</w:t>
      </w:r>
    </w:p>
    <w:p>
      <w:pPr>
        <w:pStyle w:val="FirstParagraph"/>
      </w:pPr>
      <w:r>
        <w:t xml:space="preserve">Initial viable cell concentration was evaluated one factor at a time across its</w:t>
      </w:r>
      <w:r>
        <w:t xml:space="preserve"> </w:t>
      </w:r>
      <w:r>
        <w:t xml:space="preserve">characterization range for its effect on peak viable cell density, titer and culture</w:t>
      </w:r>
      <w:r>
        <w:t xml:space="preserve"> </w:t>
      </w:r>
      <w:r>
        <w:t xml:space="preserve">trajectory; it was not carried into the multivariate design because prior knowledge</w:t>
      </w:r>
      <w:r>
        <w:t xml:space="preserve"> </w:t>
      </w:r>
      <w:r>
        <w:t xml:space="preserve">indicated no credible CQA impact.</w:t>
      </w:r>
    </w:p>
    <w:bookmarkEnd w:id="34"/>
    <w:bookmarkEnd w:id="35"/>
    <w:bookmarkStart w:id="68" w:name="results"/>
    <w:p>
      <w:pPr>
        <w:pStyle w:val="Heading1"/>
      </w:pPr>
      <w:r>
        <w:t xml:space="preserve">5. Results</w:t>
      </w:r>
    </w:p>
    <w:bookmarkStart w:id="41" w:name="Xf97ee4bb2c9cff2863a8b844b130fb4d363b4f3"/>
    <w:p>
      <w:pPr>
        <w:pStyle w:val="Heading2"/>
      </w:pPr>
      <w:r>
        <w:t xml:space="preserve">5.1 Center-point performance and reproducibility</w:t>
      </w:r>
    </w:p>
    <w:p>
      <w:pPr>
        <w:pStyle w:val="FirstParagraph"/>
      </w:pPr>
      <w:r>
        <w:t xml:space="preserve">The nominal (center-point) fed-batch profile (</w:t>
      </w:r>
      <w:hyperlink w:anchor="fig-tc">
        <w:r>
          <w:rPr>
            <w:rStyle w:val="Hyperlink"/>
          </w:rPr>
          <w:t xml:space="preserve">Figure 1</w:t>
        </w:r>
      </w:hyperlink>
      <w:r>
        <w:t xml:space="preserve">) reaches a peak viable cell</w:t>
      </w:r>
      <w:r>
        <w:t xml:space="preserve"> </w:t>
      </w:r>
      <w:r>
        <w:t xml:space="preserve">density of 13.48 ×10⁶ cells/mL and a harvest titer of</w:t>
      </w:r>
      <w:r>
        <w:t xml:space="preserve"> </w:t>
      </w:r>
      <w:r>
        <w:t xml:space="preserve">4.37 g/L at 67.1% final viability at the nominal</w:t>
      </w:r>
      <w:r>
        <w:t xml:space="preserve"> </w:t>
      </w:r>
      <w:r>
        <w:t xml:space="preserve">17-day harvest. The</w:t>
      </w:r>
      <w:r>
        <w:t xml:space="preserve"> </w:t>
      </w:r>
      <w:r>
        <w:t xml:space="preserve">between-replicate reproducibility of the center point (</w:t>
      </w:r>
      <w:hyperlink w:anchor="tbl-cv">
        <w:r>
          <w:rPr>
            <w:rStyle w:val="Hyperlink"/>
          </w:rPr>
          <w:t xml:space="preserve">Table 6</w:t>
        </w:r>
      </w:hyperlink>
      <w:r>
        <w:t xml:space="preserve">) is the pure-error</w:t>
      </w:r>
      <w:r>
        <w:t xml:space="preserve"> </w:t>
      </w:r>
      <w:r>
        <w:t xml:space="preserve">estimate used in the lack-of-fit assessment; the coefficients of variation</w:t>
      </w:r>
      <w:r>
        <w:t xml:space="preserve"> </w:t>
      </w:r>
      <w:r>
        <w:t xml:space="preserve">(4.1–9.9%)</w:t>
      </w:r>
      <w:r>
        <w:t xml:space="preserve"> </w:t>
      </w:r>
      <w:r>
        <w:t xml:space="preserve">reflect the combined analytical and biological variability of the SDM.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tc"/>
          <w:p>
            <w:pPr>
              <w:pStyle w:val="Compact"/>
              <w:jc w:val="center"/>
            </w:pPr>
            <w:r>
              <w:drawing>
                <wp:inline>
                  <wp:extent cx="5334000" cy="1538514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timecours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5385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Nominal production-bioreactor time course: viable cell density, viability and titer.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c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Center-point reproducibility (response-surface design; n = 4 replicates).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%CV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6.53</w:t>
                  </w:r>
                </w:p>
              </w:tc>
            </w:tr>
          </w:tbl>
          <w:bookmarkEnd w:id="40"/>
          <w:p/>
        </w:tc>
      </w:tr>
    </w:tbl>
    <w:bookmarkEnd w:id="41"/>
    <w:bookmarkStart w:id="49" w:name="screening-factor-effects"/>
    <w:p>
      <w:pPr>
        <w:pStyle w:val="Heading2"/>
      </w:pPr>
      <w:r>
        <w:t xml:space="preserve">5.2 Screening: factor effects</w:t>
      </w:r>
    </w:p>
    <w:p>
      <w:pPr>
        <w:pStyle w:val="FirstParagraph"/>
      </w:pPr>
      <w:r>
        <w:t xml:space="preserve">The screening models explain the majority of the response variance and identify the</w:t>
      </w:r>
      <w:r>
        <w:t xml:space="preserve"> </w:t>
      </w:r>
      <w:r>
        <w:t xml:space="preserve">active factors and interactions (</w:t>
      </w:r>
      <w:hyperlink w:anchor="tbl-scr-fit">
        <w:r>
          <w:rPr>
            <w:rStyle w:val="Hyperlink"/>
          </w:rPr>
          <w:t xml:space="preserve">Table 7</w:t>
        </w:r>
      </w:hyperlink>
      <w:r>
        <w:t xml:space="preserve">). Consistent with the fractional</w:t>
      </w:r>
      <w:r>
        <w:t xml:space="preserve"> </w:t>
      </w:r>
      <w:r>
        <w:t xml:space="preserve">design’s limited residual degrees of freedom, screening is used to</w:t>
      </w:r>
      <w:r>
        <w:t xml:space="preserve"> </w:t>
      </w:r>
      <w:r>
        <w:rPr>
          <w:i/>
          <w:iCs/>
        </w:rPr>
        <w:t xml:space="preserve">rank and select</w:t>
      </w:r>
      <w:r>
        <w:t xml:space="preserve"> </w:t>
      </w:r>
      <w:r>
        <w:t xml:space="preserve">effects; the magnitudes are refined by the response-surface models (§6.3).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scr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Screening-design model summary by response (main effects + two-factor interactions).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2"/>
              <w:gridCol w:w="495"/>
              <w:gridCol w:w="693"/>
              <w:gridCol w:w="1089"/>
              <w:gridCol w:w="1188"/>
              <w:gridCol w:w="792"/>
              <w:gridCol w:w="1089"/>
              <w:gridCol w:w="79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0.00766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42.2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0.00515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0.0829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The standardized effects for the two potency-determining glycan CQAs are shown in</w:t>
      </w:r>
      <w:r>
        <w:t xml:space="preserve"> </w:t>
      </w:r>
      <w:hyperlink w:anchor="fig-pareto">
        <w:r>
          <w:rPr>
            <w:rStyle w:val="Hyperlink"/>
          </w:rPr>
          <w:t xml:space="preserve">Figure 2</w:t>
        </w:r>
      </w:hyperlink>
      <w:r>
        <w:t xml:space="preserve">; the largest effects are tabulated for afucosylation (</w:t>
      </w:r>
      <w:hyperlink w:anchor="tbl-eff-afuc">
        <w:r>
          <w:rPr>
            <w:rStyle w:val="Hyperlink"/>
          </w:rPr>
          <w:t xml:space="preserve">Table 8</w:t>
        </w:r>
      </w:hyperlink>
      <w:r>
        <w:t xml:space="preserve">) and</w:t>
      </w:r>
      <w:r>
        <w:t xml:space="preserve"> </w:t>
      </w:r>
      <w:r>
        <w:t xml:space="preserve">galactosylation (</w:t>
      </w:r>
      <w:hyperlink w:anchor="tbl-eff-gal">
        <w:r>
          <w:rPr>
            <w:rStyle w:val="Hyperlink"/>
          </w:rPr>
          <w:t xml:space="preserve">Table 9</w:t>
        </w:r>
      </w:hyperlink>
      <w:r>
        <w:t xml:space="preserve">). Full effect tables for all five responses are given</w:t>
      </w:r>
      <w:r>
        <w:t xml:space="preserve"> </w:t>
      </w:r>
      <w:r>
        <w:t xml:space="preserve">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pareto"/>
          <w:p>
            <w:pPr>
              <w:pStyle w:val="Compact"/>
              <w:jc w:val="center"/>
            </w:pPr>
            <w:r>
              <w:drawing>
                <wp:inline>
                  <wp:extent cx="5334000" cy="174545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pareto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7454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Standardized screening effects for afucosylation and galactosylation; red bars are significant (p &lt; 0.05).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eff-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Largest standardized effects on afucosylation (screening; effect = 2 × coded coefficient).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60"/>
              <w:gridCol w:w="1200"/>
              <w:gridCol w:w="1080"/>
              <w:gridCol w:w="1560"/>
              <w:gridCol w:w="840"/>
              <w:gridCol w:w="1320"/>
              <w:gridCol w:w="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0.0209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0.0455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0.0858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0.0878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0.264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4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eff-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Largest standardized effects on galactosylation (screening).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45"/>
              <w:gridCol w:w="1182"/>
              <w:gridCol w:w="1063"/>
              <w:gridCol w:w="1536"/>
              <w:gridCol w:w="945"/>
              <w:gridCol w:w="1300"/>
              <w:gridCol w:w="94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Effect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-3.91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-20.2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0.000264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0.000382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-5.79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0.000644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0.00261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0.00343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</w:tbl>
          <w:bookmarkEnd w:id="48"/>
          <w:p/>
        </w:tc>
      </w:tr>
    </w:tbl>
    <w:p>
      <w:pPr>
        <w:pStyle w:val="BodyText"/>
      </w:pPr>
      <w:r>
        <w:t xml:space="preserve">Culture pH, temperature, dissolved CO₂, osmolality and culture duration are the</w:t>
      </w:r>
      <w:r>
        <w:t xml:space="preserve"> </w:t>
      </w:r>
      <w:r>
        <w:t xml:space="preserve">active factors across the glycan and charge-variant responses, with several</w:t>
      </w:r>
      <w:r>
        <w:t xml:space="preserve"> </w:t>
      </w:r>
      <w:r>
        <w:t xml:space="preserve">significant two-factor interactions — notably culture pH × culture duration and</w:t>
      </w:r>
      <w:r>
        <w:t xml:space="preserve"> </w:t>
      </w:r>
      <w:r>
        <w:t xml:space="preserve">culture pH × dissolved CO₂ — confirming that the CQAs cannot be controlled by</w:t>
      </w:r>
      <w:r>
        <w:t xml:space="preserve"> </w:t>
      </w:r>
      <w:r>
        <w:t xml:space="preserve">one-factor-at-a-time set-points and motivating the multivariate response-surface</w:t>
      </w:r>
      <w:r>
        <w:t xml:space="preserve"> </w:t>
      </w:r>
      <w:r>
        <w:t xml:space="preserve">characterization.</w:t>
      </w:r>
    </w:p>
    <w:bookmarkEnd w:id="49"/>
    <w:bookmarkStart w:id="66" w:name="response-surface-models"/>
    <w:p>
      <w:pPr>
        <w:pStyle w:val="Heading2"/>
      </w:pPr>
      <w:r>
        <w:t xml:space="preserve">5.3 Response-surface models</w:t>
      </w:r>
    </w:p>
    <w:p>
      <w:pPr>
        <w:pStyle w:val="FirstParagraph"/>
      </w:pPr>
      <w:r>
        <w:t xml:space="preserve">The full quadratic response-surface models are adequate for all five CQAs</w:t>
      </w:r>
      <w:r>
        <w:t xml:space="preserve"> </w:t>
      </w:r>
      <w:r>
        <w:t xml:space="preserve">(</w:t>
      </w:r>
      <w:hyperlink w:anchor="tbl-rsm-fit">
        <w:r>
          <w:rPr>
            <w:rStyle w:val="Hyperlink"/>
          </w:rPr>
          <w:t xml:space="preserve">Table 10</w:t>
        </w:r>
      </w:hyperlink>
      <w:r>
        <w:t xml:space="preserve">): R² = 0.91–0.97, adjusted</w:t>
      </w:r>
      <w:r>
        <w:t xml:space="preserve"> </w:t>
      </w:r>
      <w:r>
        <w:t xml:space="preserve">R² ≥ 0.81, and predicted R² ≥ 0.60,</w:t>
      </w:r>
      <w:r>
        <w:t xml:space="preserve"> </w:t>
      </w:r>
      <w:r>
        <w:t xml:space="preserve">indicating good predictive capability rather than overfitting.</w:t>
      </w:r>
      <w:r>
        <w:t xml:space="preserve"> </w:t>
      </w:r>
      <w:r>
        <w:t xml:space="preserve">For every response the lack-of-fit F-test was not significant (p &gt; 0.05) relative to the center-point pure error, confirming model adequacy.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rsm-fi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Response-surface model summary by response (full quadratic model).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804"/>
              <w:gridCol w:w="501"/>
              <w:gridCol w:w="701"/>
              <w:gridCol w:w="1102"/>
              <w:gridCol w:w="1203"/>
              <w:gridCol w:w="701"/>
              <w:gridCol w:w="1102"/>
              <w:gridCol w:w="80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Response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Adj.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Pred. R²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RMSE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1.06e-07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0.598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1.27e-05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1.58e-07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0.0985</w:t>
                  </w:r>
                </w:p>
              </w:tc>
            </w:tr>
          </w:tbl>
          <w:bookmarkEnd w:id="50"/>
          <w:p/>
        </w:tc>
      </w:tr>
    </w:tbl>
    <w:p>
      <w:pPr>
        <w:pStyle w:val="BodyText"/>
      </w:pPr>
      <w:r>
        <w:t xml:space="preserve">The fitted coefficients for afucosylation and galactosylation are given in</w:t>
      </w:r>
      <w:r>
        <w:t xml:space="preserve"> </w:t>
      </w:r>
      <w:hyperlink w:anchor="tbl-coef-afuc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bl-coef-gal">
        <w:r>
          <w:rPr>
            <w:rStyle w:val="Hyperlink"/>
          </w:rPr>
          <w:t xml:space="preserve">Table 12</w:t>
        </w:r>
      </w:hyperlink>
      <w:r>
        <w:t xml:space="preserve">, and the analysis of variance for afucosylation —</w:t>
      </w:r>
      <w:r>
        <w:t xml:space="preserve"> </w:t>
      </w:r>
      <w:r>
        <w:t xml:space="preserve">including the lack-of-fit/pure-error partition — in</w:t>
      </w:r>
      <w:r>
        <w:t xml:space="preserve"> </w:t>
      </w:r>
      <w:hyperlink w:anchor="tbl-anova-afuc">
        <w:r>
          <w:rPr>
            <w:rStyle w:val="Hyperlink"/>
          </w:rPr>
          <w:t xml:space="preserve">Table 13</w:t>
        </w:r>
      </w:hyperlink>
      <w:r>
        <w:t xml:space="preserve">. Coefficient</w:t>
      </w:r>
      <w:r>
        <w:t xml:space="preserve"> </w:t>
      </w:r>
      <w:r>
        <w:t xml:space="preserve">tables for the remaining CQAs are in Appendix C.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coef-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Response-surface coefficients for afucosylation (coded factors A = pH, B = temperature, C = CO₂, E = duration).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0.202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5.74e-15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6.52e-06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-0.551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0.00151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-9.45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0.0194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5.6e-07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3.16e-05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-0.0703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0.638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0.0322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-1.37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0.00233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-0.157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0.673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0.257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0.493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0.752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coef-g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Response-surface coefficients for galactosylation.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Coef.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Std. err.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Intercept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54.8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9.11e-17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2.27e-08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-7.56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4.11e-06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0.000279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2.28e-06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1.09e-05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-0.217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0.534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-0.837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-0.988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0.663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0.289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C²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-0.373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-0.441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0.667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bookmarkEnd w:id="5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anova-afu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Analysis of variance for the afucosylation response-surface model, with lack-of-fit and pure-error partition.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Sum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 sq.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p-value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5.05e-07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Residual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Lack of 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0.406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Pure error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0.377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nan</w:t>
                  </w:r>
                </w:p>
              </w:tc>
            </w:tr>
          </w:tbl>
          <w:bookmarkEnd w:id="53"/>
          <w:p/>
        </w:tc>
      </w:tr>
    </w:tbl>
    <w:p>
      <w:pPr>
        <w:pStyle w:val="BodyText"/>
      </w:pPr>
      <w:r>
        <w:t xml:space="preserve">The response surfaces over the two most influential factors (culture pH and culture</w:t>
      </w:r>
      <w:r>
        <w:t xml:space="preserve"> </w:t>
      </w:r>
      <w:r>
        <w:t xml:space="preserve">duration) are shown for all five CQAs in</w:t>
      </w:r>
      <w:r>
        <w:t xml:space="preserve"> </w:t>
      </w:r>
      <w:hyperlink w:anchor="fig-contours">
        <w:r>
          <w:rPr>
            <w:rStyle w:val="Hyperlink"/>
          </w:rPr>
          <w:t xml:space="preserve">Figure 3</w:t>
        </w:r>
      </w:hyperlink>
      <w:r>
        <w:t xml:space="preserve">, and the model diagnostics for</w:t>
      </w:r>
      <w:r>
        <w:t xml:space="preserve"> </w:t>
      </w:r>
      <w:r>
        <w:t xml:space="preserve">the afucosylation and aggregate models in</w:t>
      </w:r>
      <w:r>
        <w:t xml:space="preserve"> </w:t>
      </w:r>
      <w:hyperlink w:anchor="fig-diag-afuc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and</w:t>
      </w:r>
      <w:r>
        <w:t xml:space="preserve"> </w:t>
      </w:r>
      <w:hyperlink w:anchor="fig-diag-agg">
        <w:r>
          <w:rPr>
            <w:rStyle w:val="Hyperlink"/>
          </w:rPr>
          <w:t xml:space="preserve">Figure 5</w:t>
        </w:r>
      </w:hyperlink>
      <w:r>
        <w:t xml:space="preserve">. The</w:t>
      </w:r>
      <w:r>
        <w:t xml:space="preserve"> </w:t>
      </w:r>
      <w:r>
        <w:t xml:space="preserve">residual-versus-predicted and normal-quantile plots show no systematic structure or</w:t>
      </w:r>
      <w:r>
        <w:t xml:space="preserve"> </w:t>
      </w:r>
      <w:r>
        <w:t xml:space="preserve">departure from normality, and the actual-versus-predicted plots lie on the identity</w:t>
      </w:r>
      <w:r>
        <w:t xml:space="preserve"> </w:t>
      </w:r>
      <w:r>
        <w:t xml:space="preserve">line, supporting the use of the models for design-space definition.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contours"/>
          <w:p>
            <w:pPr>
              <w:pStyle w:val="Compact"/>
              <w:jc w:val="center"/>
            </w:pPr>
            <w:r>
              <w:drawing>
                <wp:inline>
                  <wp:extent cx="5334000" cy="3196308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contours-output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9630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Response-surface predictions for the five cell-culture CQAs over culture pH × culture duration (remaining factors at set-point).</w:t>
            </w:r>
          </w:p>
          <w:bookmarkEnd w:id="5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diag-afuc"/>
          <w:p>
            <w:pPr>
              <w:pStyle w:val="Compact"/>
              <w:jc w:val="center"/>
            </w:pPr>
            <w:r>
              <w:drawing>
                <wp:inline>
                  <wp:extent cx="5334000" cy="1653795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-afuc-output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379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Model diagnostics for the afucosylation response-surface model.</w:t>
            </w:r>
          </w:p>
          <w:bookmarkEnd w:id="6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ag-agg"/>
          <w:p>
            <w:pPr>
              <w:pStyle w:val="Compact"/>
              <w:jc w:val="center"/>
            </w:pPr>
            <w:r>
              <w:drawing>
                <wp:inline>
                  <wp:extent cx="5334000" cy="1652214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PCR-003_bioreactor_files/figure-docx/fig-diag-agg-output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652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Model diagnostics for the aggregate (HMW) response-surface model.</w:t>
            </w:r>
          </w:p>
          <w:bookmarkEnd w:id="65"/>
        </w:tc>
      </w:tr>
    </w:tbl>
    <w:bookmarkEnd w:id="66"/>
    <w:bookmarkStart w:id="67" w:name="mechanistic-interpretation"/>
    <w:p>
      <w:pPr>
        <w:pStyle w:val="Heading2"/>
      </w:pPr>
      <w:r>
        <w:t xml:space="preserve">5.4 Mechanistic interpretation</w:t>
      </w:r>
    </w:p>
    <w:p>
      <w:pPr>
        <w:pStyle w:val="FirstParagraph"/>
      </w:pPr>
      <w:r>
        <w:t xml:space="preserve">The response-surface models reproduce the established physiology of fed-batch IgG1</w:t>
      </w:r>
      <w:r>
        <w:t xml:space="preserve"> </w:t>
      </w:r>
      <w:r>
        <w:t xml:space="preserve">culture. Lower culture pH and lower temperature increase specific productivity,</w:t>
      </w:r>
      <w:r>
        <w:t xml:space="preserve"> </w:t>
      </w:r>
      <w:r>
        <w:t xml:space="preserve">extend the productive culture and raise titer, with a modest increase in</w:t>
      </w:r>
      <w:r>
        <w:t xml:space="preserve"> </w:t>
      </w:r>
      <w:r>
        <w:t xml:space="preserve">afucosylation and a decrease in galactosylation. Extended culture duration lowers</w:t>
      </w:r>
      <w:r>
        <w:t xml:space="preserve"> </w:t>
      </w:r>
      <w:r>
        <w:t xml:space="preserve">both afucosylation and galactosylation and raises the harvest HCP and DNA load as</w:t>
      </w:r>
      <w:r>
        <w:t xml:space="preserve"> </w:t>
      </w:r>
      <w:r>
        <w:t xml:space="preserve">viability declines late in culture. Dissolved CO₂ and osmolality modulate</w:t>
      </w:r>
      <w:r>
        <w:t xml:space="preserve"> </w:t>
      </w:r>
      <w:r>
        <w:t xml:space="preserve">galactosylation and the charge-variant profile. The significant culture</w:t>
      </w:r>
      <w:r>
        <w:t xml:space="preserve"> </w:t>
      </w:r>
      <w:r>
        <w:t xml:space="preserve">pH × duration and pH × CO₂ interactions mean the glycan responses depend on the</w:t>
      </w:r>
      <w:r>
        <w:t xml:space="preserve"> </w:t>
      </w:r>
      <w:r>
        <w:rPr>
          <w:i/>
          <w:iCs/>
        </w:rPr>
        <w:t xml:space="preserve">combination</w:t>
      </w:r>
      <w:r>
        <w:t xml:space="preserve"> </w:t>
      </w:r>
      <w:r>
        <w:t xml:space="preserve">of set-points, which is why a multivariate design space — rather than</w:t>
      </w:r>
      <w:r>
        <w:t xml:space="preserve"> </w:t>
      </w:r>
      <w:r>
        <w:t xml:space="preserve">independent one-dimensional ranges — is required to assure quality.</w:t>
      </w:r>
    </w:p>
    <w:bookmarkEnd w:id="67"/>
    <w:bookmarkEnd w:id="68"/>
    <w:bookmarkStart w:id="73" w:name="design-space"/>
    <w:p>
      <w:pPr>
        <w:pStyle w:val="Heading1"/>
      </w:pPr>
      <w:r>
        <w:t xml:space="preserve">6. Design space</w:t>
      </w:r>
    </w:p>
    <w:p>
      <w:pPr>
        <w:pStyle w:val="FirstParagraph"/>
      </w:pPr>
      <w:r>
        <w:t xml:space="preserve">The design space is the multivariate region of culture pH, temperature, culture</w:t>
      </w:r>
      <w:r>
        <w:t xml:space="preserve"> </w:t>
      </w:r>
      <w:r>
        <w:t xml:space="preserve">duration and dissolved CO₂ over which all five cell-culture CQAs simultaneously meet</w:t>
      </w:r>
      <w:r>
        <w:t xml:space="preserve"> </w:t>
      </w:r>
      <w:r>
        <w:t xml:space="preserve">their acceptance criteria, computed by overlaying the individual CQA constraints on</w:t>
      </w:r>
      <w:r>
        <w:t xml:space="preserve"> </w:t>
      </w:r>
      <w:r>
        <w:t xml:space="preserve">the fitted response-surface models.</w:t>
      </w:r>
      <w:r>
        <w:t xml:space="preserve"> </w:t>
      </w:r>
      <w:hyperlink w:anchor="fig-ds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pH × culture-duration plane at</w:t>
      </w:r>
      <w:r>
        <w:t xml:space="preserve"> </w:t>
      </w:r>
      <w:r>
        <w:t xml:space="preserve">the set-points of the remaining factors: the shaded region satisfies every CQA at</w:t>
      </w:r>
      <w:r>
        <w:t xml:space="preserve"> </w:t>
      </w:r>
      <w:r>
        <w:t xml:space="preserve">once, with the afucosylation contours overlaid and the NOR and set-point indicated.</w:t>
      </w:r>
      <w:r>
        <w:t xml:space="preserve"> </w:t>
      </w:r>
      <w:r>
        <w:t xml:space="preserve">The NOR of each parameter (</w:t>
      </w:r>
      <w:hyperlink w:anchor="tbl-param">
        <w:r>
          <w:rPr>
            <w:rStyle w:val="Hyperlink"/>
          </w:rPr>
          <w:t xml:space="preserve">Table 4</w:t>
        </w:r>
      </w:hyperlink>
      <w:r>
        <w:t xml:space="preserve">) lies well inside the design space, which in</w:t>
      </w:r>
      <w:r>
        <w:t xml:space="preserve"> </w:t>
      </w:r>
      <w:r>
        <w:t xml:space="preserve">turn lies within the broader characterized knowledge space; movement within the</w:t>
      </w:r>
      <w:r>
        <w:t xml:space="preserve"> </w:t>
      </w:r>
      <w:r>
        <w:t xml:space="preserve">design space is not a change, whereas movement outside it would require assessment</w:t>
      </w:r>
      <w:r>
        <w:t xml:space="preserve"> </w:t>
      </w:r>
      <w:r>
        <w:t xml:space="preserve">under the quality system</w:t>
      </w:r>
      <w:r>
        <w:t xml:space="preserve"> </w:t>
      </w:r>
      <w:r>
        <w:t xml:space="preserve">(CMC Biotech Working Group 2009; International Council for Harmonisation 2009)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" w:name="fig-ds"/>
          <w:p>
            <w:pPr>
              <w:pStyle w:val="Compact"/>
              <w:jc w:val="center"/>
            </w:pPr>
            <w:r>
              <w:drawing>
                <wp:inline>
                  <wp:extent cx="4533900" cy="3688276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../outputs/figures/fig_bioreactor_designspac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33900" cy="36882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Production-bioreactor design space (culture pH × culture duration); the shaded region satisfies all cell-culture CQAs simultaneously, with afucosylation (%) contours overlaid.</w:t>
            </w:r>
          </w:p>
          <w:bookmarkEnd w:id="72"/>
        </w:tc>
      </w:tr>
    </w:tbl>
    <w:bookmarkEnd w:id="73"/>
    <w:bookmarkStart w:id="75" w:name="process-capability-and-robustness"/>
    <w:p>
      <w:pPr>
        <w:pStyle w:val="Heading1"/>
      </w:pPr>
      <w:r>
        <w:t xml:space="preserve">7. Process capability and robustness</w:t>
      </w:r>
    </w:p>
    <w:p>
      <w:pPr>
        <w:pStyle w:val="FirstParagraph"/>
      </w:pPr>
      <w:r>
        <w:t xml:space="preserve">A Monte-Carlo simulation of 2,000 commercial-scale</w:t>
      </w:r>
      <w:r>
        <w:t xml:space="preserve"> </w:t>
      </w:r>
      <w:r>
        <w:t xml:space="preserve">batches, with every parameter varied within its NOR, was used to estimate the</w:t>
      </w:r>
      <w:r>
        <w:t xml:space="preserve"> </w:t>
      </w:r>
      <w:r>
        <w:t xml:space="preserve">commercial-scale CQA distributions and process capability (</w:t>
      </w:r>
      <w:hyperlink w:anchor="tbl-cap">
        <w:r>
          <w:rPr>
            <w:rStyle w:val="Hyperlink"/>
          </w:rPr>
          <w:t xml:space="preserve">Table 14</w:t>
        </w:r>
      </w:hyperlink>
      <w:r>
        <w:t xml:space="preserve">). Capability is</w:t>
      </w:r>
      <w:r>
        <w:t xml:space="preserve"> </w:t>
      </w:r>
      <w:r>
        <w:t xml:space="preserve">evaluated one-sided for impurity CQAs (upper limit) and two-sided for target-range</w:t>
      </w:r>
      <w:r>
        <w:t xml:space="preserve"> </w:t>
      </w:r>
      <w:r>
        <w:t xml:space="preserve">CQAs.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tbl-ca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14: Commercial-scale process capability for the bioreactor-set CQAs.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201"/>
              <w:gridCol w:w="758"/>
              <w:gridCol w:w="926"/>
              <w:gridCol w:w="1179"/>
              <w:gridCol w:w="1263"/>
              <w:gridCol w:w="58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CQA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Crit.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Acceptance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± 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Cpk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2–13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7.98 ± 0.58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Galactosylation (total %Gal)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10–40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26 ± 1.6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two_sided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3–10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5.99 ± 0.51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Aggregates (HMW)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0.753 ± 0.088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Acidic charge variants (deamidation)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18–40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22.3 ± 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Host Cell Protein (HCP)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M-H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upper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0–100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15.2 ± 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6.14</w:t>
                  </w:r>
                </w:p>
              </w:tc>
            </w:tr>
          </w:tbl>
          <w:bookmarkEnd w:id="74"/>
          <w:p/>
        </w:tc>
      </w:tr>
    </w:tbl>
    <w:p>
      <w:pPr>
        <w:pStyle w:val="BodyText"/>
      </w:pPr>
      <w:r>
        <w:t xml:space="preserve">All bioreactor-set CQAs meet their acceptance criteria with margin; the minimum</w:t>
      </w:r>
      <w:r>
        <w:t xml:space="preserve"> </w:t>
      </w:r>
      <w:r>
        <w:t xml:space="preserve">capability is</w:t>
      </w:r>
      <w:r>
        <w:t xml:space="preserve"> </w:t>
      </w:r>
      <w:r>
        <w:rPr>
          <w:b/>
          <w:bCs/>
        </w:rPr>
        <w:t xml:space="preserve">Cpk = 1.94</w:t>
      </w:r>
      <w:r>
        <w:t xml:space="preserve">, driven by high mannose, which</w:t>
      </w:r>
      <w:r>
        <w:t xml:space="preserve"> </w:t>
      </w:r>
      <w:r>
        <w:t xml:space="preserve">is the Very-High-criticality attribute held to the narrowest target range. The</w:t>
      </w:r>
      <w:r>
        <w:t xml:space="preserve"> </w:t>
      </w:r>
      <w:r>
        <w:t xml:space="preserve">capability margin confirms that the NOR-bounded process reliably delivers in-</w:t>
      </w:r>
      <w:r>
        <w:t xml:space="preserve"> </w:t>
      </w:r>
      <w:r>
        <w:t xml:space="preserve">specification drug substance at commercial scale.</w:t>
      </w:r>
    </w:p>
    <w:bookmarkEnd w:id="75"/>
    <w:bookmarkStart w:id="77" w:name="parameter-classification"/>
    <w:p>
      <w:pPr>
        <w:pStyle w:val="Heading1"/>
      </w:pPr>
      <w:r>
        <w:t xml:space="preserve">8. Parameter classification</w:t>
      </w:r>
    </w:p>
    <w:p>
      <w:pPr>
        <w:pStyle w:val="FirstParagraph"/>
      </w:pPr>
      <w:r>
        <w:t xml:space="preserve">Each parameter was classified on the A-Mab continuum from the demonstrated effects</w:t>
      </w:r>
      <w:r>
        <w:t xml:space="preserve"> </w:t>
      </w:r>
      <w:r>
        <w:t xml:space="preserve">and the design-space risk (</w:t>
      </w:r>
      <w:hyperlink w:anchor="tbl-class">
        <w:r>
          <w:rPr>
            <w:rStyle w:val="Hyperlink"/>
          </w:rPr>
          <w:t xml:space="preserve">Table 15</w:t>
        </w:r>
      </w:hyperlink>
      <w:r>
        <w:t xml:space="preserve">). The rationale is as follows.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Culture pH, temperature, dissolved CO₂, osmolality, culture duration —</w:t>
      </w:r>
      <w:r>
        <w:rPr>
          <w:b/>
          <w:bCs/>
        </w:rPr>
        <w:t xml:space="preserve"> </w:t>
      </w:r>
      <w:r>
        <w:rPr>
          <w:b/>
          <w:bCs/>
        </w:rPr>
        <w:t xml:space="preserve">WC-CPP.</w:t>
      </w:r>
      <w:r>
        <w:t xml:space="preserve"> </w:t>
      </w:r>
      <w:r>
        <w:t xml:space="preserve">Each significantly affects one or more glycan and/or charge-variant CQAs</w:t>
      </w:r>
      <w:r>
        <w:t xml:space="preserve"> </w:t>
      </w:r>
      <w:r>
        <w:t xml:space="preserve">(§6.2–6.3), and several participate in significant interactions. They are, however,</w:t>
      </w:r>
      <w:r>
        <w:t xml:space="preserve"> </w:t>
      </w:r>
      <w:r>
        <w:t xml:space="preserve">reliably held within the design space by closed-loop control and continuous</w:t>
      </w:r>
      <w:r>
        <w:t xml:space="preserve"> </w:t>
      </w:r>
      <w:r>
        <w:t xml:space="preserve">in-process monitoring, giving a low risk of leaving the design space; they are</w:t>
      </w:r>
      <w:r>
        <w:t xml:space="preserve"> </w:t>
      </w:r>
      <w:r>
        <w:t xml:space="preserve">therefore well-controlled CPPs rather than CPPs.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Dissolved oxygen, initial viable cell concentration, nutrient feed-1 volume —</w:t>
      </w:r>
      <w:r>
        <w:rPr>
          <w:b/>
          <w:bCs/>
        </w:rPr>
        <w:t xml:space="preserve"> </w:t>
      </w:r>
      <w:r>
        <w:rPr>
          <w:b/>
          <w:bCs/>
        </w:rPr>
        <w:t xml:space="preserve">KPP.</w:t>
      </w:r>
      <w:r>
        <w:t xml:space="preserve"> </w:t>
      </w:r>
      <w:r>
        <w:t xml:space="preserve">These affect peak viable cell density, titer and culture consistency but do</w:t>
      </w:r>
      <w:r>
        <w:t xml:space="preserve"> </w:t>
      </w:r>
      <w:r>
        <w:t xml:space="preserve">not significantly impact the CQAs; they are controlled for process performance.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Basal medium concentration — GPP.</w:t>
      </w:r>
      <w:r>
        <w:t xml:space="preserve"> </w:t>
      </w:r>
      <w:r>
        <w:t xml:space="preserve">No meaningful impact on CQAs or performance</w:t>
      </w:r>
      <w:r>
        <w:t xml:space="preserve"> </w:t>
      </w:r>
      <w:r>
        <w:t xml:space="preserve">was observed over the wide range studied.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tbl-clas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 Post-characterization parameter classification.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pH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temperature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CO2 (pCO2)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Osmolality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Culture duration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WC-CPP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Dissolved oxygen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Initial viable cell conc.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 medium concentration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Nutrient feed-1 volume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KPP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multivariate</w:t>
                  </w:r>
                </w:p>
              </w:tc>
            </w:tr>
          </w:tbl>
          <w:bookmarkEnd w:id="76"/>
          <w:p/>
        </w:tc>
      </w:tr>
    </w:tbl>
    <w:bookmarkEnd w:id="77"/>
    <w:bookmarkStart w:id="78" w:name="contribution-to-the-control-strategy"/>
    <w:p>
      <w:pPr>
        <w:pStyle w:val="Heading1"/>
      </w:pPr>
      <w:r>
        <w:t xml:space="preserve">9. Contribution to the control strategy</w:t>
      </w:r>
    </w:p>
    <w:p>
      <w:pPr>
        <w:pStyle w:val="FirstParagraph"/>
      </w:pPr>
      <w:r>
        <w:t xml:space="preserve">The production bioreactor is the primary control point for the glycosylation CQAs</w:t>
      </w:r>
      <w:r>
        <w:t xml:space="preserve"> </w:t>
      </w:r>
      <w:r>
        <w:t xml:space="preserve">(afucosylation, high mannose, galactosylation) and for the acidic charge-variant</w:t>
      </w:r>
      <w:r>
        <w:t xml:space="preserve"> </w:t>
      </w:r>
      <w:r>
        <w:t xml:space="preserve">profile, and it sets the initial aggregate and the HCP/DNA load presented</w:t>
      </w:r>
      <w:r>
        <w:t xml:space="preserve"> </w:t>
      </w:r>
      <w:r>
        <w:t xml:space="preserve">downstream. Its contribution to the overall control strategy comprises: control of</w:t>
      </w:r>
      <w:r>
        <w:t xml:space="preserve"> </w:t>
      </w:r>
      <w:r>
        <w:t xml:space="preserve">the five WC-CPPs to their NORs within the established design space; in-process</w:t>
      </w:r>
      <w:r>
        <w:t xml:space="preserve"> </w:t>
      </w:r>
      <w:r>
        <w:t xml:space="preserve">monitoring of pH, temperature, dissolved oxygen and pCO₂; harvest on the qualified</w:t>
      </w:r>
      <w:r>
        <w:t xml:space="preserve"> </w:t>
      </w:r>
      <w:r>
        <w:t xml:space="preserve">duration criterion; released glycan-map, charge-variant, aggregate and HCP testing;</w:t>
      </w:r>
      <w:r>
        <w:t xml:space="preserve"> </w:t>
      </w:r>
      <w:r>
        <w:t xml:space="preserve">and the trending of the harvest impurity load. The glycan CQAs are controlled</w:t>
      </w:r>
      <w:r>
        <w:t xml:space="preserve"> </w:t>
      </w:r>
      <w:r>
        <w:t xml:space="preserve">predominantly here because they are not modified downstream, whereas aggregate and</w:t>
      </w:r>
      <w:r>
        <w:t xml:space="preserve"> </w:t>
      </w:r>
      <w:r>
        <w:t xml:space="preserve">HCP established here are further controlled by cation exchange and by the Protein A /</w:t>
      </w:r>
      <w:r>
        <w:t xml:space="preserve"> </w:t>
      </w:r>
      <w:r>
        <w:t xml:space="preserve">CEX / AEX train respectively (reported in the paired unit-operation reports and</w:t>
      </w:r>
      <w:r>
        <w:t xml:space="preserve"> </w:t>
      </w:r>
      <w:r>
        <w:t xml:space="preserve">consolidated in</w:t>
      </w:r>
      <w:r>
        <w:t xml:space="preserve"> </w:t>
      </w:r>
      <w:r>
        <w:rPr>
          <w:b/>
          <w:bCs/>
        </w:rPr>
        <w:t xml:space="preserve">PCMR-001</w:t>
      </w:r>
      <w:r>
        <w:t xml:space="preserve">).</w:t>
      </w:r>
    </w:p>
    <w:bookmarkEnd w:id="78"/>
    <w:bookmarkStart w:id="79" w:name="discussion"/>
    <w:p>
      <w:pPr>
        <w:pStyle w:val="Heading1"/>
      </w:pPr>
      <w:r>
        <w:t xml:space="preserve">10. Discussion</w:t>
      </w:r>
    </w:p>
    <w:p>
      <w:pPr>
        <w:pStyle w:val="FirstParagraph"/>
      </w:pPr>
      <w:r>
        <w:t xml:space="preserve">The characterization quantifies the parameter–CQA relationships for the production</w:t>
      </w:r>
      <w:r>
        <w:t xml:space="preserve"> </w:t>
      </w:r>
      <w:r>
        <w:t xml:space="preserve">bioreactor, defines a robust multivariate design space, and classifies every</w:t>
      </w:r>
      <w:r>
        <w:t xml:space="preserve"> </w:t>
      </w:r>
      <w:r>
        <w:t xml:space="preserve">parameter with a data-supported rationale. The response-surface models are adequate</w:t>
      </w:r>
      <w:r>
        <w:t xml:space="preserve"> </w:t>
      </w:r>
      <w:r>
        <w:t xml:space="preserve">and predictive, and their behaviour is consistent with established fed-batch IgG1</w:t>
      </w:r>
      <w:r>
        <w:t xml:space="preserve"> </w:t>
      </w:r>
      <w:r>
        <w:t xml:space="preserve">physiology and with the A-Mab prior knowledge, increasing confidence that the SDM is</w:t>
      </w:r>
      <w:r>
        <w:t xml:space="preserve"> </w:t>
      </w:r>
      <w:r>
        <w:t xml:space="preserve">representative of commercial scale. The principal limitation is inherent to</w:t>
      </w:r>
      <w:r>
        <w:t xml:space="preserve"> </w:t>
      </w:r>
      <w:r>
        <w:t xml:space="preserve">scale-down characterization: absolute values and the harvest impurity load may shift</w:t>
      </w:r>
      <w:r>
        <w:t xml:space="preserve"> </w:t>
      </w:r>
      <w:r>
        <w:t xml:space="preserve">modestly at scale, which is why the design space is defined on the qualified SDM and</w:t>
      </w:r>
      <w:r>
        <w:t xml:space="preserve"> </w:t>
      </w:r>
      <w:r>
        <w:t xml:space="preserve">confirmed at commercial scale during Stage 2, and why the WC-CPP ranges are carried</w:t>
      </w:r>
      <w:r>
        <w:t xml:space="preserve"> </w:t>
      </w:r>
      <w:r>
        <w:t xml:space="preserve">forward with in-process monitoring. The characterization did not identify any</w:t>
      </w:r>
      <w:r>
        <w:t xml:space="preserve"> </w:t>
      </w:r>
      <w:r>
        <w:t xml:space="preserve">parameter requiring the most stringent (CPP, as opposed to WC-CPP) control within the</w:t>
      </w:r>
      <w:r>
        <w:t xml:space="preserve"> </w:t>
      </w:r>
      <w:r>
        <w:t xml:space="preserve">studied ranges.</w:t>
      </w:r>
    </w:p>
    <w:bookmarkEnd w:id="79"/>
    <w:bookmarkStart w:id="80" w:name="conclusions"/>
    <w:p>
      <w:pPr>
        <w:pStyle w:val="Heading1"/>
      </w:pPr>
      <w:r>
        <w:t xml:space="preserve">11. Conclusions</w:t>
      </w:r>
    </w:p>
    <w:p>
      <w:pPr>
        <w:pStyle w:val="FirstParagraph"/>
      </w:pPr>
      <w:r>
        <w:t xml:space="preserve">The A-Mab production bioreactor is well understood and robust. The relationships</w:t>
      </w:r>
      <w:r>
        <w:t xml:space="preserve"> </w:t>
      </w:r>
      <w:r>
        <w:t xml:space="preserve">between the culture parameters and the glycan, charge-variant and aggregate CQAs are</w:t>
      </w:r>
      <w:r>
        <w:t xml:space="preserve"> </w:t>
      </w:r>
      <w:r>
        <w:t xml:space="preserve">quantified by DoE; a multivariate design space is established; every parameter range</w:t>
      </w:r>
      <w:r>
        <w:t xml:space="preserve"> </w:t>
      </w:r>
      <w:r>
        <w:t xml:space="preserve">is justified by data; and all CQAs meet acceptance at commercial scale with a minimum</w:t>
      </w:r>
      <w:r>
        <w:t xml:space="preserve"> </w:t>
      </w:r>
      <w:r>
        <w:t xml:space="preserve">capability of Cpk = 1.94. The design space, parameter</w:t>
      </w:r>
      <w:r>
        <w:t xml:space="preserve"> </w:t>
      </w:r>
      <w:r>
        <w:t xml:space="preserve">classifications and proven acceptable ranges provide the basis for the Stage 2</w:t>
      </w:r>
      <w:r>
        <w:t xml:space="preserve"> </w:t>
      </w:r>
      <w:r>
        <w:t xml:space="preserve">operating ranges and the drug-substance control strategy. This report rolls up into</w:t>
      </w:r>
      <w:r>
        <w:t xml:space="preserve"> </w:t>
      </w:r>
      <w:r>
        <w:t xml:space="preserve">the Process Characterization Master Report (</w:t>
      </w:r>
      <w:r>
        <w:rPr>
          <w:b/>
          <w:bCs/>
        </w:rPr>
        <w:t xml:space="preserve">PCMR-001</w:t>
      </w:r>
      <w:r>
        <w:t xml:space="preserve">) and provides the parameter</w:t>
      </w:r>
      <w:r>
        <w:t xml:space="preserve"> </w:t>
      </w:r>
      <w:r>
        <w:t xml:space="preserve">risk basis for the post-characterization process risk assessment.</w:t>
      </w:r>
    </w:p>
    <w:bookmarkEnd w:id="80"/>
    <w:bookmarkStart w:id="81" w:name="deviations-from-the-plan"/>
    <w:p>
      <w:pPr>
        <w:pStyle w:val="Heading1"/>
      </w:pPr>
      <w:r>
        <w:t xml:space="preserve">Deviations from the plan</w:t>
      </w:r>
    </w:p>
    <w:p>
      <w:pPr>
        <w:pStyle w:val="FirstParagraph"/>
      </w:pPr>
      <w:r>
        <w:t xml:space="preserve">No deviations from</w:t>
      </w:r>
      <w:r>
        <w:t xml:space="preserve"> </w:t>
      </w:r>
      <w:r>
        <w:rPr>
          <w:b/>
          <w:bCs/>
        </w:rPr>
        <w:t xml:space="preserve">PCP-003</w:t>
      </w:r>
      <w:r>
        <w:t xml:space="preserve"> </w:t>
      </w:r>
      <w:r>
        <w:t xml:space="preserve">were recorded. All planned runs were executed and all</w:t>
      </w:r>
      <w:r>
        <w:t xml:space="preserve"> </w:t>
      </w:r>
      <w:r>
        <w:t xml:space="preserve">planned responses were measured on the qualified scale-down model.</w:t>
      </w:r>
    </w:p>
    <w:bookmarkEnd w:id="81"/>
    <w:bookmarkStart w:id="90" w:name="references"/>
    <w:p>
      <w:pPr>
        <w:pStyle w:val="Heading1"/>
      </w:pPr>
      <w:r>
        <w:t xml:space="preserve">References</w:t>
      </w:r>
    </w:p>
    <w:bookmarkStart w:id="89" w:name="refs"/>
    <w:bookmarkStart w:id="82" w:name="ref-amab2009"/>
    <w:p>
      <w:pPr>
        <w:pStyle w:val="Bibliography"/>
      </w:pPr>
      <w:r>
        <w:t xml:space="preserve">CMC Biotech Working Group. 2009.</w:t>
      </w:r>
      <w:r>
        <w:t xml:space="preserve"> </w:t>
      </w:r>
      <w:r>
        <w:rPr>
          <w:i/>
          <w:iCs/>
        </w:rPr>
        <w:t xml:space="preserve">A-Mab: A Case Study in Bioprocess Development</w:t>
      </w:r>
      <w:r>
        <w:t xml:space="preserve">. CASSS.</w:t>
      </w:r>
    </w:p>
    <w:bookmarkEnd w:id="82"/>
    <w:bookmarkStart w:id="83" w:name="ref-ichq8"/>
    <w:p>
      <w:pPr>
        <w:pStyle w:val="Bibliography"/>
      </w:pPr>
      <w:r>
        <w:t xml:space="preserve">International Council for Harmonisation. 2009.</w:t>
      </w:r>
      <w:r>
        <w:t xml:space="preserve"> </w:t>
      </w:r>
      <w:r>
        <w:rPr>
          <w:i/>
          <w:iCs/>
        </w:rPr>
        <w:t xml:space="preserve">ICH Q8(R2): Pharmaceutical Development</w:t>
      </w:r>
      <w:r>
        <w:t xml:space="preserve">. ICH.</w:t>
      </w:r>
    </w:p>
    <w:bookmarkEnd w:id="83"/>
    <w:bookmarkStart w:id="84" w:name="ref-ichq11"/>
    <w:p>
      <w:pPr>
        <w:pStyle w:val="Bibliography"/>
      </w:pPr>
      <w:r>
        <w:t xml:space="preserve">International Council for Harmonisation. 2012.</w:t>
      </w:r>
      <w:r>
        <w:t xml:space="preserve"> </w:t>
      </w:r>
      <w:r>
        <w:rPr>
          <w:i/>
          <w:iCs/>
        </w:rPr>
        <w:t xml:space="preserve">ICH Q11: Development and Manufacture of Drug Substances</w:t>
      </w:r>
      <w:r>
        <w:t xml:space="preserve">. ICH.</w:t>
      </w:r>
    </w:p>
    <w:bookmarkEnd w:id="84"/>
    <w:bookmarkStart w:id="85" w:name="ref-ichq9"/>
    <w:p>
      <w:pPr>
        <w:pStyle w:val="Bibliography"/>
      </w:pPr>
      <w:r>
        <w:t xml:space="preserve">International Council for Harmonisation. 2023.</w:t>
      </w:r>
      <w:r>
        <w:t xml:space="preserve"> </w:t>
      </w:r>
      <w:r>
        <w:rPr>
          <w:i/>
          <w:iCs/>
        </w:rPr>
        <w:t xml:space="preserve">ICH Q9(R1): Quality Risk Management</w:t>
      </w:r>
      <w:r>
        <w:t xml:space="preserve">. ICH.</w:t>
      </w:r>
    </w:p>
    <w:bookmarkEnd w:id="85"/>
    <w:bookmarkStart w:id="86" w:name="ref-ispegpg2023"/>
    <w:p>
      <w:pPr>
        <w:pStyle w:val="Bibliography"/>
      </w:pPr>
      <w:r>
        <w:t xml:space="preserve">International Society for Pharmaceutical Engineering. 2023.</w:t>
      </w:r>
      <w:r>
        <w:t xml:space="preserve"> </w:t>
      </w:r>
      <w:r>
        <w:rPr>
          <w:i/>
          <w:iCs/>
        </w:rPr>
        <w:t xml:space="preserve">Good Practice Guide: Practical Implementation of the Lifecycle Approach to Process Validation</w:t>
      </w:r>
      <w:r>
        <w:t xml:space="preserve">. ISPE.</w:t>
      </w:r>
    </w:p>
    <w:bookmarkEnd w:id="86"/>
    <w:bookmarkStart w:id="87" w:name="ref-pdatr60"/>
    <w:p>
      <w:pPr>
        <w:pStyle w:val="Bibliography"/>
      </w:pPr>
      <w:r>
        <w:t xml:space="preserve">Parenteral Drug Association. 2013.</w:t>
      </w:r>
      <w:r>
        <w:t xml:space="preserve"> </w:t>
      </w:r>
      <w:r>
        <w:rPr>
          <w:i/>
          <w:iCs/>
        </w:rPr>
        <w:t xml:space="preserve">Technical Report No. 60: Process Validation — a Lifecycle Approach</w:t>
      </w:r>
      <w:r>
        <w:t xml:space="preserve">. PDA.</w:t>
      </w:r>
    </w:p>
    <w:bookmarkEnd w:id="87"/>
    <w:bookmarkStart w:id="88" w:name="ref-fda2011"/>
    <w:p>
      <w:pPr>
        <w:pStyle w:val="Bibliography"/>
      </w:pPr>
      <w:r>
        <w:t xml:space="preserve">U.S. Food and Drug Administration. 2011.</w:t>
      </w:r>
      <w:r>
        <w:t xml:space="preserve"> </w:t>
      </w:r>
      <w:r>
        <w:rPr>
          <w:i/>
          <w:iCs/>
        </w:rPr>
        <w:t xml:space="preserve">Guidance for Industry: Process Validation — General Principles and Practices</w:t>
      </w:r>
      <w:r>
        <w:t xml:space="preserve">. FDA.</w:t>
      </w:r>
    </w:p>
    <w:bookmarkEnd w:id="88"/>
    <w:bookmarkEnd w:id="89"/>
    <w:p>
      <w:r>
        <w:br w:type="page"/>
      </w:r>
    </w:p>
    <w:bookmarkEnd w:id="90"/>
    <w:bookmarkStart w:id="93" w:name="X77c0ef24ce4de9c1b8c35876c233736670b0bf3"/>
    <w:p>
      <w:pPr>
        <w:pStyle w:val="Heading1"/>
      </w:pPr>
      <w:r>
        <w:t xml:space="preserve">Appendix A — Screening design matrix and responses</w:t>
      </w:r>
    </w:p>
    <w:p>
      <w:pPr>
        <w:pStyle w:val="FirstParagraph"/>
      </w:pPr>
      <w:r>
        <w:t xml:space="preserve">The coded resolution-V fractional-factorial design (factors A–E per</w:t>
      </w:r>
      <w:r>
        <w:t xml:space="preserve"> </w:t>
      </w:r>
      <w:hyperlink w:anchor="tbl-legend">
        <w:r>
          <w:rPr>
            <w:rStyle w:val="Hyperlink"/>
          </w:rPr>
          <w:t xml:space="preserve">Table 5</w:t>
        </w:r>
      </w:hyperlink>
      <w:r>
        <w:t xml:space="preserve">;</w:t>
      </w:r>
      <w:r>
        <w:t xml:space="preserve"> </w:t>
      </w:r>
      <w:r>
        <w:t xml:space="preserve">coded levels 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tbl-app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Appendix A1 — screening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131"/>
              <w:gridCol w:w="1131"/>
              <w:gridCol w:w="1131"/>
              <w:gridCol w:w="1131"/>
              <w:gridCol w:w="1131"/>
              <w:gridCol w:w="1131"/>
              <w:gridCol w:w="11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1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tbl-app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Appendix A2 — screening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5"/>
              <w:gridCol w:w="1373"/>
              <w:gridCol w:w="1535"/>
              <w:gridCol w:w="1293"/>
              <w:gridCol w:w="1535"/>
              <w:gridCol w:w="16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34.6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41.4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0.859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31.2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4.45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9.61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2.26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7.01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</w:tbl>
          <w:bookmarkEnd w:id="92"/>
          <w:p/>
        </w:tc>
      </w:tr>
    </w:tbl>
    <w:p>
      <w:r>
        <w:br w:type="page"/>
      </w:r>
    </w:p>
    <w:bookmarkEnd w:id="93"/>
    <w:bookmarkStart w:id="96" w:name="Xc987739a58e5854fe31352d470a2bebef9123c1"/>
    <w:p>
      <w:pPr>
        <w:pStyle w:val="Heading1"/>
      </w:pPr>
      <w:r>
        <w:t xml:space="preserve">Appendix B — Response-surface design matrix and responses</w:t>
      </w:r>
    </w:p>
    <w:p>
      <w:pPr>
        <w:pStyle w:val="FirstParagraph"/>
      </w:pPr>
      <w:r>
        <w:t xml:space="preserve">The coded face-centred central-composite design (factors A, B, C, E; coded levels</w:t>
      </w:r>
      <w:r>
        <w:t xml:space="preserve"> </w:t>
      </w:r>
      <w:r>
        <w:t xml:space="preserve">−1/0/+1) and the measured responses for each run.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app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Appendix B1 — response-surface design (coded factor settings).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factorial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axial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appB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Appendix B2 — response-surface run responses.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65"/>
              <w:gridCol w:w="1373"/>
              <w:gridCol w:w="1535"/>
              <w:gridCol w:w="1293"/>
              <w:gridCol w:w="1535"/>
              <w:gridCol w:w="161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Run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Afucosylation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Galactosylation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High mannose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Acidic variants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Aggregates (HMW)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9.43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5.38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8.81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5.41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2.84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4.59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8.77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7.55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6.89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25.7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1.45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7.88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27.3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6.32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7.35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22.4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7.27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28.2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4.96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21.1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1.37</w:t>
                  </w:r>
                </w:p>
              </w:tc>
            </w:tr>
          </w:tbl>
          <w:bookmarkEnd w:id="95"/>
          <w:p/>
        </w:tc>
      </w:tr>
    </w:tbl>
    <w:p>
      <w:r>
        <w:br w:type="page"/>
      </w:r>
    </w:p>
    <w:bookmarkEnd w:id="96"/>
    <w:bookmarkStart w:id="99" w:name="Xa2fac5041b4173f7385fa99ae36b1e5b6f06fdd"/>
    <w:p>
      <w:pPr>
        <w:pStyle w:val="Heading1"/>
      </w:pPr>
      <w:r>
        <w:t xml:space="preserve">Appendix C — Full effect and coefficient tables</w:t>
      </w:r>
    </w:p>
    <w:bookmarkStart w:id="97" w:name="screening-effects-all-responses"/>
    <w:p>
      <w:pPr>
        <w:pStyle w:val="Heading2"/>
      </w:pPr>
      <w:r>
        <w:t xml:space="preserve">11.1 Screening effects — all responses</w:t>
      </w:r>
    </w:p>
    <w:p>
      <w:pPr>
        <w:pStyle w:val="FirstParagraph"/>
      </w:pPr>
      <w:r>
        <w:rPr>
          <w:b/>
          <w:bCs/>
        </w:rPr>
        <w:t xml:space="preserve">Afucosylation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8"/>
        <w:gridCol w:w="1147"/>
        <w:gridCol w:w="1147"/>
        <w:gridCol w:w="1492"/>
        <w:gridCol w:w="1033"/>
        <w:gridCol w:w="1262"/>
        <w:gridCol w:w="9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0.0952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Galactosylation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048"/>
        <w:gridCol w:w="1514"/>
        <w:gridCol w:w="1048"/>
        <w:gridCol w:w="1281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High mannose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210"/>
        <w:gridCol w:w="1210"/>
        <w:gridCol w:w="1430"/>
        <w:gridCol w:w="110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-0.00186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Acidic variants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8"/>
        <w:gridCol w:w="1147"/>
        <w:gridCol w:w="1033"/>
        <w:gridCol w:w="1492"/>
        <w:gridCol w:w="1147"/>
        <w:gridCol w:w="1262"/>
        <w:gridCol w:w="9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Aggregates (HMW)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1164"/>
        <w:gridCol w:w="1164"/>
        <w:gridCol w:w="1514"/>
        <w:gridCol w:w="931"/>
        <w:gridCol w:w="1281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-0.00663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0.883</w:t>
            </w:r>
          </w:p>
        </w:tc>
        <w:tc>
          <w:tcPr/>
          <w:p>
            <w:pPr>
              <w:pStyle w:val="Compact"/>
            </w:pPr>
          </w:p>
        </w:tc>
      </w:tr>
    </w:tbl>
    <w:bookmarkEnd w:id="97"/>
    <w:bookmarkStart w:id="98" w:name="X3e7b59f45ba3796874f993be2255b13e43f8c79"/>
    <w:p>
      <w:pPr>
        <w:pStyle w:val="Heading2"/>
      </w:pPr>
      <w:r>
        <w:t xml:space="preserve">11.2 Response-surface coefficients — remaining CQAs</w:t>
      </w:r>
    </w:p>
    <w:p>
      <w:pPr>
        <w:pStyle w:val="FirstParagraph"/>
      </w:pPr>
      <w:r>
        <w:rPr>
          <w:b/>
          <w:bCs/>
        </w:rPr>
        <w:t xml:space="preserve">High mannose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Acidic variants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-0.736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Aggregates (HMW)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Coef.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 err.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-0.00713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98"/>
    <w:bookmarkEnd w:id="99"/>
    <w:bookmarkStart w:id="101" w:name="appendix-d-analytical-methods-summary"/>
    <w:p>
      <w:pPr>
        <w:pStyle w:val="Heading1"/>
      </w:pPr>
      <w:r>
        <w:t xml:space="preserve">Appendix D — Analytical methods summary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app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Analytical methods, techniques and validation references (performance characteristics per the cited method validation reports).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Technique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Analytes / CQAs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Validation ref.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Reportable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N-glycan map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2-AB HILIC-UPLC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Afucosylation, high mannose, galactosylation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of glycans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SEC-HPLC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Aggregate (HMW), monomer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HMW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protein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ELISA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HCP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ng/mg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Charge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icIEF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Acidic / main / basic variants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% acidic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Residual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qPCR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Host-cell DNA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AMV-3014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ng/dose</w:t>
                  </w:r>
                </w:p>
              </w:tc>
            </w:tr>
          </w:tbl>
          <w:bookmarkEnd w:id="100"/>
          <w:p/>
        </w:tc>
      </w:tr>
    </w:tbl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9" Target="media/rId69.png" /><Relationship Type="http://schemas.openxmlformats.org/officeDocument/2006/relationships/image" Id="rId43" Target="media/rId43.png" /><Relationship Type="http://schemas.openxmlformats.org/officeDocument/2006/relationships/image" Id="rId36" Target="media/rId36.png" /><Relationship Type="http://schemas.openxmlformats.org/officeDocument/2006/relationships/image" Id="rId54" Target="media/rId54.png" /><Relationship Type="http://schemas.openxmlformats.org/officeDocument/2006/relationships/image" Id="rId58" Target="media/rId58.png" /><Relationship Type="http://schemas.openxmlformats.org/officeDocument/2006/relationships/image" Id="rId62" Target="media/rId6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 Characterization Report</dc:title>
  <dc:creator>Process Development / Manufacturing Science &amp; Technology (MSAT)</dc:creator>
  <cp:keywords/>
  <dcterms:created xsi:type="dcterms:W3CDTF">2026-07-25T07:58:35Z</dcterms:created>
  <dcterms:modified xsi:type="dcterms:W3CDTF">2026-07-25T07:58:35Z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2026-07-24</vt:lpwstr>
  </property>
  <property fmtid="{D5CDD505-2E9C-101B-9397-08002B2CF9AE}" pid="7" name="execute">
    <vt:lpwstr/>
  </property>
  <property fmtid="{D5CDD505-2E9C-101B-9397-08002B2CF9AE}" pid="8" name="fig-cap-location">
    <vt:lpwstr>bottom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jupyter">
    <vt:lpwstr>python3</vt:lpwstr>
  </property>
  <property fmtid="{D5CDD505-2E9C-101B-9397-08002B2CF9AE}" pid="13" name="labels">
    <vt:lpwstr/>
  </property>
  <property fmtid="{D5CDD505-2E9C-101B-9397-08002B2CF9AE}" pid="14" name="subtitle">
    <vt:lpwstr>A-Mab Drug Substance — Production Bioreactor (Step 3) — PCR-003</vt:lpwstr>
  </property>
  <property fmtid="{D5CDD505-2E9C-101B-9397-08002B2CF9AE}" pid="15" name="tbl-cap-location">
    <vt:lpwstr>top</vt:lpwstr>
  </property>
  <property fmtid="{D5CDD505-2E9C-101B-9397-08002B2CF9AE}" pid="16" name="toc-title">
    <vt:lpwstr>Table of contents</vt:lpwstr>
  </property>
</Properties>
</file>