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AEX, anion exchange chromatography; AMV, analytical</w:t>
      </w:r>
      <w:r>
        <w:t xml:space="preserve"> </w:t>
      </w:r>
      <w:r>
        <w:t xml:space="preserve">method validation; BLA, Biologics License Application; CCD, central composite design;</w:t>
      </w:r>
      <w:r>
        <w:t xml:space="preserve"> </w:t>
      </w:r>
      <w:r>
        <w:t xml:space="preserve">CEX, cation exchange chromatography; CPP, critical process parameter; CQA, critical</w:t>
      </w:r>
      <w:r>
        <w:t xml:space="preserve"> </w:t>
      </w:r>
      <w:r>
        <w:t xml:space="preserve">quality attribute; DoE, design of experiments; DS, drug substance; GPP, general process</w:t>
      </w:r>
      <w:r>
        <w:t xml:space="preserve"> </w:t>
      </w:r>
      <w:r>
        <w:t xml:space="preserve">parameter; HMW, high molecular weight; icIEF, imaged capillary isoelectric focusing;</w:t>
      </w:r>
      <w:r>
        <w:t xml:space="preserve"> </w:t>
      </w:r>
      <w:r>
        <w:t xml:space="preserve">IgG1, immunoglobulin G subclass 1; KPP, key process parameter; LRF, log reduction factor;</w:t>
      </w:r>
      <w:r>
        <w:t xml:space="preserve"> </w:t>
      </w:r>
      <w:r>
        <w:t xml:space="preserve">MSAT, Manufacturing Science and Technology; MVM, minute virus of mice; NOR, normal</w:t>
      </w:r>
      <w:r>
        <w:t xml:space="preserve"> </w:t>
      </w:r>
      <w:r>
        <w:t xml:space="preserve">operating range; PAR, proven acceptable range; PCP, process characterization plan; PCR,</w:t>
      </w:r>
      <w:r>
        <w:t xml:space="preserve"> </w:t>
      </w:r>
      <w:r>
        <w:t xml:space="preserve">process characterization report; PPQ, process performance qualification; RSM, response</w:t>
      </w:r>
      <w:r>
        <w:t xml:space="preserve"> </w:t>
      </w:r>
      <w:r>
        <w:t xml:space="preserve">surface methodology; SD, standard deviation; SEC-HPLC, size-exclusion high-performance</w:t>
      </w:r>
      <w:r>
        <w:t xml:space="preserve"> </w:t>
      </w:r>
      <w:r>
        <w:t xml:space="preserve">liquid chromatography; SOP, standard operating procedure; TCID50, fifty-percent tissue</w:t>
      </w:r>
      <w:r>
        <w:t xml:space="preserve"> </w:t>
      </w:r>
      <w:r>
        <w:t xml:space="preserve">culture infectious dose; WC-CPP, well-controlled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study for the low-pH viral inactivation</w:t>
      </w:r>
      <w:r>
        <w:t xml:space="preserve"> </w:t>
      </w:r>
      <w:r>
        <w:t xml:space="preserve">step of the A-Mab drug-substance process. The step is a hold on the Protein A eluate</w:t>
      </w:r>
      <w:r>
        <w:t xml:space="preserve"> </w:t>
      </w:r>
      <w:r>
        <w:t xml:space="preserve">under acidic conditions, and it is the point in the purification train at which</w:t>
      </w:r>
      <w:r>
        <w:t xml:space="preserve"> </w:t>
      </w:r>
      <w:r>
        <w:t xml:space="preserve">enveloped virus is inactivated instead of being removed. The study will quantify how the</w:t>
      </w:r>
      <w:r>
        <w:t xml:space="preserve"> </w:t>
      </w:r>
      <w:r>
        <w:t xml:space="preserve">hold conditions govern virus inactivation and product quality, and it will establish the</w:t>
      </w:r>
      <w:r>
        <w:t xml:space="preserve"> </w:t>
      </w:r>
      <w:r>
        <w:t xml:space="preserve">operating ranges that the commercial control strategy applies at the receiving site, so</w:t>
      </w:r>
      <w:r>
        <w:t xml:space="preserve"> </w:t>
      </w:r>
      <w:r>
        <w:t xml:space="preserve">that the ranges carried into commercial manufacture are the ranges this study has</w:t>
      </w:r>
      <w:r>
        <w:t xml:space="preserve"> </w:t>
      </w:r>
      <w:r>
        <w:t xml:space="preserve">characterized. It is a Stage 1 activity in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Q8(R2)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The scope runs from the point at which the Protein A eluate is titrated to the</w:t>
      </w:r>
      <w:r>
        <w:t xml:space="preserve"> </w:t>
      </w:r>
      <w:r>
        <w:t xml:space="preserve">inactivation pH to the point at which the held pool is neutralized for cation exchange.</w:t>
      </w:r>
      <w:r>
        <w:t xml:space="preserve"> </w:t>
      </w:r>
      <w:r>
        <w:t xml:space="preserve">The step has 4 parameters in scope, of which 3 will be studied in a</w:t>
      </w:r>
      <w:r>
        <w:t xml:space="preserve"> </w:t>
      </w:r>
      <w:r>
        <w:t xml:space="preserve">multivariate design and 1 in a univariate assessment, on the basis set out</w:t>
      </w:r>
      <w:r>
        <w:t xml:space="preserve"> </w:t>
      </w:r>
      <w:r>
        <w:t xml:space="preserve">in §4.3. Every run of the multivariate design will be measured for 3</w:t>
      </w:r>
      <w:r>
        <w:t xml:space="preserve"> </w:t>
      </w:r>
      <w:r>
        <w:t xml:space="preserve">responses, namely the XMuLV log reduction factor, the aggregate content of the pool and</w:t>
      </w:r>
      <w:r>
        <w:t xml:space="preserve"> </w:t>
      </w:r>
      <w:r>
        <w:t xml:space="preserve">the acidic charge variants of the pool.</w:t>
      </w:r>
    </w:p>
    <w:p>
      <w:pPr>
        <w:pStyle w:val="BodyText"/>
      </w:pPr>
      <w:r>
        <w:t xml:space="preserve">Three things sit outside this plan. The clearance contributed by the anion exchange and</w:t>
      </w:r>
      <w:r>
        <w:t xml:space="preserve"> </w:t>
      </w:r>
      <w:r>
        <w:t xml:space="preserve">small-virus retentive filtration steps is characterized in PCP-008 and PCP-009 and is not</w:t>
      </w:r>
      <w:r>
        <w:t xml:space="preserve"> </w:t>
      </w:r>
      <w:r>
        <w:t xml:space="preserve">evaluated here, although the clearance credited to those steps enters this plan as a</w:t>
      </w:r>
      <w:r>
        <w:t xml:space="preserve"> </w:t>
      </w:r>
      <w:r>
        <w:t xml:space="preserve">fixed input to the acceptance criterion of §7. The cumulative viral clearance claim for</w:t>
      </w:r>
      <w:r>
        <w:t xml:space="preserve"> </w:t>
      </w:r>
      <w:r>
        <w:t xml:space="preserve">the drug substance is consolidated in PCMR-001, and no part of that claim is established by this step alone.</w:t>
      </w:r>
      <w:r>
        <w:t xml:space="preserve"> </w:t>
      </w:r>
      <w:r>
        <w:t xml:space="preserve">Commercial-scale process performance qualification is a Stage 2 activity under PTP-001.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inactivation pH, hold time and temperature on the XMuLV log</w:t>
      </w:r>
      <w:r>
        <w:t xml:space="preserve"> </w:t>
      </w:r>
      <w:r>
        <w:t xml:space="preserve">reduction factor, on pool aggregate and on pool acidic variants, over the ranges given</w:t>
      </w:r>
      <w:r>
        <w:t xml:space="preserve"> </w:t>
      </w:r>
      <w:r>
        <w:t xml:space="preserve">in §6.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Define the multivariate region in which the log reduction factor meets the step</w:t>
      </w:r>
      <w:r>
        <w:t xml:space="preserve"> </w:t>
      </w:r>
      <w:r>
        <w:t xml:space="preserve">criterion of §7 while aggregate and acidic variants stay inside their drug-substance</w:t>
      </w:r>
      <w:r>
        <w:t xml:space="preserve"> </w:t>
      </w:r>
      <w:r>
        <w:t xml:space="preserve">specifications.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Establish a proven acceptable range for each parameter and each governed</w:t>
      </w:r>
      <w:r>
        <w:t xml:space="preserve"> </w:t>
      </w:r>
      <w:r>
        <w:t xml:space="preserve">attribute, both at the set-points of the other parameters and with the other parameters</w:t>
      </w:r>
      <w:r>
        <w:t xml:space="preserve"> </w:t>
      </w:r>
      <w:r>
        <w:t xml:space="preserve">varying inside their normal operating ranges (§8).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Provide the evidence from which each parameter will be classified in PCR-006 under</w:t>
      </w:r>
      <w:r>
        <w:t xml:space="preserve"> </w:t>
      </w:r>
      <w:r>
        <w:t xml:space="preserve">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Justify the Stage 2 operating ranges for the step and its contribution to the</w:t>
      </w:r>
      <w:r>
        <w:t xml:space="preserve"> </w:t>
      </w:r>
      <w:r>
        <w:t xml:space="preserve">control strategy for the drug substance.</w:t>
      </w:r>
    </w:p>
    <w:p>
      <w:pPr>
        <w:pStyle w:val="FirstParagraph"/>
      </w:pPr>
      <w:r>
        <w:t xml:space="preserve">This plan states its criteria before any data exist. No operating region, no proven</w:t>
      </w:r>
      <w:r>
        <w:t xml:space="preserve"> </w:t>
      </w:r>
      <w:r>
        <w:t xml:space="preserve">acceptable range and no parameter classification is asserted here, and every outcome is</w:t>
      </w:r>
      <w:r>
        <w:t xml:space="preserve"> </w:t>
      </w:r>
      <w:r>
        <w:t xml:space="preserve">reported in PCR-006.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A-Mab characterization package. Its parents are the transfer</w:t>
      </w:r>
      <w:r>
        <w:t xml:space="preserve"> </w:t>
      </w:r>
      <w:r>
        <w:t xml:space="preserve">plan, the pre-characterization risk assessment and the master plan, and the executed</w:t>
      </w:r>
      <w:r>
        <w:t xml:space="preserve"> </w:t>
      </w:r>
      <w:r>
        <w:t xml:space="preserve">study is reported in the paired document PCR-006. The cross-references are given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study is governed by the controlled procedures and validated analytical methods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SOP-1001 governs the qualification of the scale-down model, SOP-1002 the design</w:t>
      </w:r>
      <w:r>
        <w:t xml:space="preserve"> </w:t>
      </w:r>
      <w:r>
        <w:t xml:space="preserve">and the analysis of the experiments, SOP-2009 the operation of the step, and SOP-4001 the</w:t>
      </w:r>
      <w:r>
        <w:t xml:space="preserve"> </w:t>
      </w:r>
      <w:r>
        <w:t xml:space="preserve">classification of the parameters once the study has reported.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governing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Low-pH viral inactivation is the second step of the A-Mab purification train and the</w:t>
      </w:r>
      <w:r>
        <w:t xml:space="preserve"> </w:t>
      </w:r>
      <w:r>
        <w:t xml:space="preserve">first step with a dedicated viral-safety function. The Protein A eluate is already</w:t>
      </w:r>
      <w:r>
        <w:t xml:space="preserve"> </w:t>
      </w:r>
      <w:r>
        <w:t xml:space="preserve">acidic, so the pool is titrated to the inactivation pH, held for a defined time under</w:t>
      </w:r>
      <w:r>
        <w:t xml:space="preserve"> </w:t>
      </w:r>
      <w:r>
        <w:t xml:space="preserve">temperature control, and then titrated to the load condition of the cation exchange step,</w:t>
      </w:r>
      <w:r>
        <w:t xml:space="preserve"> </w:t>
      </w:r>
      <w:r>
        <w:t xml:space="preserve">which places the hold between two chromatography operations and gives it no separating</w:t>
      </w:r>
      <w:r>
        <w:t xml:space="preserve"> </w:t>
      </w:r>
      <w:r>
        <w:t xml:space="preserve">function of its own. Inactivation is a chemical process and not a separation. Acid</w:t>
      </w:r>
      <w:r>
        <w:t xml:space="preserve"> </w:t>
      </w:r>
      <w:r>
        <w:t xml:space="preserve">disrupts the lipid envelope and the envelope glycoproteins of susceptible viruses, so infectivity is lost while the</w:t>
      </w:r>
      <w:r>
        <w:t xml:space="preserve"> </w:t>
      </w:r>
      <w:r>
        <w:t xml:space="preserve">virus particle stays in the pool. Non-enveloped viruses have no envelope to disrupt, and</w:t>
      </w:r>
      <w:r>
        <w:t xml:space="preserve"> </w:t>
      </w:r>
      <w:r>
        <w:t xml:space="preserve">this step makes no clearance claim for minute virus of mice or for any other</w:t>
      </w:r>
      <w:r>
        <w:t xml:space="preserve"> </w:t>
      </w:r>
      <w:r>
        <w:t xml:space="preserve">non-enveloped model virus. The claim that is made covers the enveloped model virus</w:t>
      </w:r>
      <w:r>
        <w:t xml:space="preserve"> </w:t>
      </w:r>
      <w:r>
        <w:t xml:space="preserve">(xenotropic murine leukaemia virus, XMuLV) and is framed by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low-pH hold is the most established operation in the purification train. Three</w:t>
      </w:r>
      <w:r>
        <w:t xml:space="preserve"> </w:t>
      </w:r>
      <w:r>
        <w:t xml:space="preserve">earlier humanized IgG1 antibodies (X-Mab, Y-Mab and Z-Mab) were manufactured with the</w:t>
      </w:r>
      <w:r>
        <w:t xml:space="preserve"> </w:t>
      </w:r>
      <w:r>
        <w:t xml:space="preserve">same hold, and its process conditions have remained essentially unchanged for those</w:t>
      </w:r>
      <w:r>
        <w:t xml:space="preserve"> </w:t>
      </w:r>
      <w:r>
        <w:t xml:space="preserve">products and through A-Mab clinical and engineering manufacture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behaviour of the step is understood mechanistically. Inactivation is faster at lower pH,</w:t>
      </w:r>
      <w:r>
        <w:t xml:space="preserve"> </w:t>
      </w:r>
      <w:r>
        <w:t xml:space="preserve">at longer hold and at higher temperature, so the worst case for viral safety is the top</w:t>
      </w:r>
      <w:r>
        <w:t xml:space="preserve"> </w:t>
      </w:r>
      <w:r>
        <w:t xml:space="preserve">of the pH range combined with the shortest hold at the lowest temperature, and that</w:t>
      </w:r>
      <w:r>
        <w:t xml:space="preserve"> </w:t>
      </w:r>
      <w:r>
        <w:t xml:space="preserve">corner is the one the design has to resolve most precisely. Product quality moves in the</w:t>
      </w:r>
      <w:r>
        <w:t xml:space="preserve"> </w:t>
      </w:r>
      <w:r>
        <w:t xml:space="preserve">opposite direction. The aggregate content of the pool rises with the</w:t>
      </w:r>
      <w:r>
        <w:t xml:space="preserve"> </w:t>
      </w:r>
      <w:r>
        <w:t xml:space="preserve">length and the temperature of the hold, and acid-induced conformational change of the</w:t>
      </w:r>
      <w:r>
        <w:t xml:space="preserve"> </w:t>
      </w:r>
      <w:r>
        <w:t xml:space="preserve">antibody adds a further aggregation risk at the low end of the pH scale. The two</w:t>
      </w:r>
      <w:r>
        <w:t xml:space="preserve"> </w:t>
      </w:r>
      <w:r>
        <w:t xml:space="preserve">mechanisms bound the usable pH window from opposite sides.</w:t>
      </w:r>
    </w:p>
    <w:p>
      <w:pPr>
        <w:pStyle w:val="BodyText"/>
      </w:pPr>
      <w:r>
        <w:t xml:space="preserve">The inactivation kinetics established on the prior products transfer directly to A-Mab,</w:t>
      </w:r>
      <w:r>
        <w:t xml:space="preserve"> </w:t>
      </w:r>
      <w:r>
        <w:t xml:space="preserve">and the low-pH hold is treated here as a settled platform operation. What the study adds</w:t>
      </w:r>
      <w:r>
        <w:t xml:space="preserve"> </w:t>
      </w:r>
      <w:r>
        <w:t xml:space="preserve">is the bounds of those kinetics over the ranges the commercial process will use. The</w:t>
      </w:r>
      <w:r>
        <w:t xml:space="preserve"> </w:t>
      </w:r>
      <w:r>
        <w:t xml:space="preserve">commercial control strategy needs the edges of the usable window, so each parameter is expanded beyond its routine control</w:t>
      </w:r>
      <w:r>
        <w:t xml:space="preserve"> </w:t>
      </w:r>
      <w:r>
        <w:t xml:space="preserve">range and the design is loaded toward those edges. The design is centred between the</w:t>
      </w:r>
      <w:r>
        <w:t xml:space="preserve"> </w:t>
      </w:r>
      <w:r>
        <w:t xml:space="preserve">edges of the characterization ranges, so the study resolves the region as a whole and not</w:t>
      </w:r>
      <w:r>
        <w:t xml:space="preserve"> </w:t>
      </w:r>
      <w:r>
        <w:t xml:space="preserve">only the neighbourhood of the set-point.</w:t>
      </w:r>
    </w:p>
    <w:p>
      <w:pPr>
        <w:pStyle w:val="BodyText"/>
      </w:pPr>
      <w:r>
        <w:t xml:space="preserve">The material entering the step is defined by the capture step. Aggregate and charge</w:t>
      </w:r>
      <w:r>
        <w:t xml:space="preserve"> </w:t>
      </w:r>
      <w:r>
        <w:t xml:space="preserve">variants in the Protein A pool are formed upstream and are not controlled here, so the</w:t>
      </w:r>
      <w:r>
        <w:t xml:space="preserve"> </w:t>
      </w:r>
      <w:r>
        <w:t xml:space="preserve">study measures both the level in the pool and the change across the hold. Aggregate is</w:t>
      </w:r>
      <w:r>
        <w:t xml:space="preserve"> </w:t>
      </w:r>
      <w:r>
        <w:t xml:space="preserve">reduced downstream by cation exchange (PCP-007), and the charge-variant profile of the</w:t>
      </w:r>
      <w:r>
        <w:t xml:space="preserve"> </w:t>
      </w:r>
      <w:r>
        <w:t xml:space="preserve">drug substance is set in the production bioreactor (PCP-003).</w:t>
      </w:r>
    </w:p>
    <w:bookmarkEnd w:id="17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One drug-substance critical quality attribute is set by this step, and it is given with</w:t>
      </w:r>
      <w:r>
        <w:t xml:space="preserve"> </w:t>
      </w:r>
      <w:r>
        <w:t xml:space="preserve">its acceptance criterion and its criticality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Drug-substance critical quality attribute set by the low-pH 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Enveloped-virus clearance is of very high criticality, and its acceptance criterion is</w:t>
      </w:r>
      <w:r>
        <w:t xml:space="preserve"> </w:t>
      </w:r>
      <w:r>
        <w:t xml:space="preserve">cumulative over the purification train instead of specific to any one step, so the</w:t>
      </w:r>
      <w:r>
        <w:t xml:space="preserve"> </w:t>
      </w:r>
      <w:r>
        <w:t xml:space="preserve">criterion this study must meet is the step’s own contribution to that total, which is</w:t>
      </w:r>
      <w:r>
        <w:t xml:space="preserve"> </w:t>
      </w:r>
      <w:r>
        <w:t xml:space="preserve">derived in §7. Criticality is treated as a continuum under ICH Q9(R1)</w:t>
      </w:r>
      <w:r>
        <w:t xml:space="preserve"> </w:t>
      </w:r>
      <w:r>
        <w:t xml:space="preserve">(International Council for Harmonisation 2023b)</w:t>
      </w:r>
      <w:r>
        <w:t xml:space="preserve">, and the</w:t>
      </w:r>
      <w:r>
        <w:t xml:space="preserve"> </w:t>
      </w:r>
      <w:r>
        <w:t xml:space="preserve">Tool #1 score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combines the impact of the attribute on safety and efficacy with the</w:t>
      </w:r>
      <w:r>
        <w:t xml:space="preserve"> </w:t>
      </w:r>
      <w:r>
        <w:t xml:space="preserve">uncertainty in that impact.</w:t>
      </w:r>
    </w:p>
    <w:p>
      <w:pPr>
        <w:pStyle w:val="BodyText"/>
      </w:pPr>
      <w:r>
        <w:t xml:space="preserve">Two further attributes are governed by the step without being set by it (</w:t>
      </w:r>
      <w:hyperlink w:anchor="tbl-cqa-hold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Neither is cleared here. Both rise slowly during an acidic hold, so the decision rule for</w:t>
      </w:r>
      <w:r>
        <w:t xml:space="preserve"> </w:t>
      </w:r>
      <w:r>
        <w:t xml:space="preserve">each is that the pool stays inside the drug-substance specification and that the change</w:t>
      </w:r>
      <w:r>
        <w:t xml:space="preserve"> </w:t>
      </w:r>
      <w:r>
        <w:t xml:space="preserve">across the hold is characterized and 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-ho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Attributes the step must not degrade, with their drug-substance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before any characterization was run, and its</w:t>
      </w:r>
      <w:r>
        <w:t xml:space="preserve"> </w:t>
      </w:r>
      <w:r>
        <w:t xml:space="preserve">output is the study type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The ranking combined the potential impact of a</w:t>
      </w:r>
      <w:r>
        <w:t xml:space="preserve"> </w:t>
      </w:r>
      <w:r>
        <w:t xml:space="preserve">parameter on a critical quality attribute with its potential to interact with the other</w:t>
      </w:r>
      <w:r>
        <w:t xml:space="preserve"> </w:t>
      </w:r>
      <w:r>
        <w:t xml:space="preserve">parameters, and a parameter with no data or rationale behind it was ranked at the highest</w:t>
      </w:r>
      <w:r>
        <w:t xml:space="preserve"> </w:t>
      </w:r>
      <w:r>
        <w:t xml:space="preserve">level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Inactivation pH carries the highest rank at this step. Its consequence is two-sided.</w:t>
      </w:r>
      <w:r>
        <w:t xml:space="preserve"> </w:t>
      </w:r>
      <w:r>
        <w:t xml:space="preserve">Above the top of the studied range the antibody is stable but inactivation is incomplete,</w:t>
      </w:r>
      <w:r>
        <w:t xml:space="preserve"> </w:t>
      </w:r>
      <w:r>
        <w:t xml:space="preserve">and below the bottom of it the kinetics are fast but the product is at risk of</w:t>
      </w:r>
      <w:r>
        <w:t xml:space="preserve"> </w:t>
      </w:r>
      <w:r>
        <w:t xml:space="preserve">aggregating. A parameter whose failure modes lie on both sides of its range has no safe</w:t>
      </w:r>
      <w:r>
        <w:t xml:space="preserve"> </w:t>
      </w:r>
      <w:r>
        <w:t xml:space="preserve">direction in which to drift, which is why it is carried into the multivariate design and</w:t>
      </w:r>
      <w:r>
        <w:t xml:space="preserve"> </w:t>
      </w:r>
      <w:r>
        <w:t xml:space="preserve">why the criteria of §7 are applied as a pair and not one at a time.</w:t>
      </w:r>
    </w:p>
    <w:p>
      <w:pPr>
        <w:pStyle w:val="BodyText"/>
      </w:pPr>
      <w:r>
        <w:t xml:space="preserve">Hold time and temperature act on the same inactivation kinetics as pH, so their effects</w:t>
      </w:r>
      <w:r>
        <w:t xml:space="preserve"> </w:t>
      </w:r>
      <w:r>
        <w:t xml:space="preserve">cannot be resolved one parameter at a time, and both are carried into the multivariate</w:t>
      </w:r>
      <w:r>
        <w:t xml:space="preserve"> </w:t>
      </w:r>
      <w:r>
        <w:t xml:space="preserve">design with pH. A-Mab concentration is ranked lower. Prior knowledge indicates that</w:t>
      </w:r>
      <w:r>
        <w:t xml:space="preserve"> </w:t>
      </w:r>
      <w:r>
        <w:t xml:space="preserve">protein concentration has little or no effect on inactivation kinetics or on aggregation</w:t>
      </w:r>
      <w:r>
        <w:t xml:space="preserve"> </w:t>
      </w:r>
      <w:r>
        <w:t xml:space="preserve">over the range the capture step delivers</w:t>
      </w:r>
      <w:r>
        <w:t xml:space="preserve"> </w:t>
      </w:r>
      <w:r>
        <w:t xml:space="preserve">(CMC Biotech Working Group 2009)</w:t>
      </w:r>
      <w:r>
        <w:t xml:space="preserve">, and the concentration of the</w:t>
      </w:r>
      <w:r>
        <w:t xml:space="preserve"> </w:t>
      </w:r>
      <w:r>
        <w:t xml:space="preserve">Protein A pool is an outcome of that step and not a set-point of this one. Its normal</w:t>
      </w:r>
      <w:r>
        <w:t xml:space="preserve"> </w:t>
      </w:r>
      <w:r>
        <w:t xml:space="preserve">operating range and its characterization range therefore coincide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and it</w:t>
      </w:r>
      <w:r>
        <w:t xml:space="preserve"> </w:t>
      </w:r>
      <w:r>
        <w:t xml:space="preserve">will be assessed univariately as described in §6.4.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Virus cannot be introduced into a manufacturing facility, so the clearance study will be</w:t>
      </w:r>
      <w:r>
        <w:t xml:space="preserve"> </w:t>
      </w:r>
      <w:r>
        <w:t xml:space="preserve">executed on a scaled-down model of the hold with spiked virus. ICH Q5A(R2) requires that</w:t>
      </w:r>
      <w:r>
        <w:t xml:space="preserve"> </w:t>
      </w:r>
      <w:r>
        <w:t xml:space="preserve">such a model be shown to represent the production step before its results are applied to</w:t>
      </w:r>
      <w:r>
        <w:t xml:space="preserve"> </w:t>
      </w:r>
      <w:r>
        <w:t xml:space="preserve">that step</w:t>
      </w:r>
      <w:r>
        <w:t xml:space="preserve"> </w:t>
      </w:r>
      <w:r>
        <w:t xml:space="preserve">(International Council for Harmonisation 2023a)</w:t>
      </w:r>
      <w:r>
        <w:t xml:space="preserve">. The qualification will be executed and documented under SOP-1001,</w:t>
      </w:r>
      <w:r>
        <w:t xml:space="preserve"> </w:t>
      </w:r>
      <w:r>
        <w:t xml:space="preserve">and its status will be stated in PCR-006 before any characterization result is reported.</w:t>
      </w:r>
    </w:p>
    <w:p>
      <w:pPr>
        <w:pStyle w:val="BodyText"/>
      </w:pPr>
      <w:r>
        <w:t xml:space="preserve">The model matches the commercial step on the variables that govern inactivation. Control</w:t>
      </w:r>
      <w:r>
        <w:t xml:space="preserve"> </w:t>
      </w:r>
      <w:r>
        <w:t xml:space="preserve">of pH, hold temperature, hold time, mixing and the surface-to-volume ratio of the</w:t>
      </w:r>
      <w:r>
        <w:t xml:space="preserve"> </w:t>
      </w:r>
      <w:r>
        <w:t xml:space="preserve">vessel are matched or bracketed, and the titration profile is reproduced so that the pool</w:t>
      </w:r>
      <w:r>
        <w:t xml:space="preserve"> </w:t>
      </w:r>
      <w:r>
        <w:t xml:space="preserve">reaches the target pH over a comparable time, since the titration itself is part of the</w:t>
      </w:r>
      <w:r>
        <w:t xml:space="preserve"> </w:t>
      </w:r>
      <w:r>
        <w:t xml:space="preserve">exposure the virus receives. Scale-independent variables are operated at the values</w:t>
      </w:r>
      <w:r>
        <w:t xml:space="preserve"> </w:t>
      </w:r>
      <w:r>
        <w:t xml:space="preserve">proposed for commercial manufacture, and scale-dependent variables are set so</w:t>
      </w:r>
      <w:r>
        <w:t xml:space="preserve"> </w:t>
      </w:r>
      <w:r>
        <w:t xml:space="preserve">that the small-scale hold reproduces the performance of the full-scale hold. Qualification</w:t>
      </w:r>
      <w:r>
        <w:t xml:space="preserve"> </w:t>
      </w:r>
      <w:r>
        <w:t xml:space="preserve">compares the pH trajectory after titration, the temperature profile over the hold, and</w:t>
      </w:r>
      <w:r>
        <w:t xml:space="preserve"> </w:t>
      </w:r>
      <w:r>
        <w:t xml:space="preserve">the change in aggregate and charge variants across the hold, against the corresponding</w:t>
      </w:r>
      <w:r>
        <w:t xml:space="preserve"> </w:t>
      </w:r>
      <w:r>
        <w:t xml:space="preserve">at-scale data from clinical and engineering batches. The comparison and its acceptance</w:t>
      </w:r>
      <w:r>
        <w:t xml:space="preserve"> </w:t>
      </w:r>
      <w:r>
        <w:t xml:space="preserve">criteria are held in the qualification record under SOP-1001.</w:t>
      </w:r>
    </w:p>
    <w:p>
      <w:pPr>
        <w:pStyle w:val="BodyText"/>
      </w:pPr>
      <w:r>
        <w:t xml:space="preserve">The spiking arrangement is part of the model and is qualified with it. Virus stock will</w:t>
      </w:r>
      <w:r>
        <w:t xml:space="preserve"> </w:t>
      </w:r>
      <w:r>
        <w:t xml:space="preserve">be added to the load in a proportion small enough that the composition of the load is not</w:t>
      </w:r>
      <w:r>
        <w:t xml:space="preserve"> </w:t>
      </w:r>
      <w:r>
        <w:t xml:space="preserve">materially altered, and the spiked load will be sampled before titration to fix the input</w:t>
      </w:r>
      <w:r>
        <w:t xml:space="preserve"> </w:t>
      </w:r>
      <w:r>
        <w:t xml:space="preserve">titre of that run. Cytotoxicity and interference controls will be run on every matrix</w:t>
      </w:r>
      <w:r>
        <w:t xml:space="preserve"> </w:t>
      </w:r>
      <w:r>
        <w:t xml:space="preserve">presented to the infectivity assay, and hold samples will be neutralized on withdrawal so</w:t>
      </w:r>
      <w:r>
        <w:t xml:space="preserve"> </w:t>
      </w:r>
      <w:r>
        <w:t xml:space="preserve">that inactivation does not continue in the sample. A spike large enough to change the</w:t>
      </w:r>
      <w:r>
        <w:t xml:space="preserve"> </w:t>
      </w:r>
      <w:r>
        <w:t xml:space="preserve">load, or a matrix that suppresses the assay, would bias the log reduction factor upward,</w:t>
      </w:r>
      <w:r>
        <w:t xml:space="preserve"> </w:t>
      </w:r>
      <w:r>
        <w:t xml:space="preserve">so these controls are what bound that risk and their results will be reported with the</w:t>
      </w:r>
      <w:r>
        <w:t xml:space="preserve"> </w:t>
      </w:r>
      <w:r>
        <w:t xml:space="preserve">clearance data in PCR-006.</w:t>
      </w:r>
    </w:p>
    <w:p>
      <w:pPr>
        <w:pStyle w:val="BodyText"/>
      </w:pPr>
      <w:r>
        <w:t xml:space="preserve">Replicated centre-point runs are the source of the pure-error estimate used in the</w:t>
      </w:r>
      <w:r>
        <w:t xml:space="preserve"> </w:t>
      </w:r>
      <w:r>
        <w:t xml:space="preserve">lack-of-fit test (§5.5). The screening design carries 3 centre points and</w:t>
      </w:r>
      <w:r>
        <w:t xml:space="preserve"> </w:t>
      </w:r>
      <w:r>
        <w:t xml:space="preserve">the response-surface design carries 4.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at small scale in the sequence used at commercial scale, under</w:t>
      </w:r>
      <w:r>
        <w:t xml:space="preserve"> </w:t>
      </w:r>
      <w:r>
        <w:t xml:space="preserve">SOP-2009. The spiked load is titrated with acid to the inactivation pH, mixed to</w:t>
      </w:r>
      <w:r>
        <w:t xml:space="preserve"> </w:t>
      </w:r>
      <w:r>
        <w:t xml:space="preserve">homogeneity, and held at the target temperature for the target time. The pool is then</w:t>
      </w:r>
      <w:r>
        <w:t xml:space="preserve"> </w:t>
      </w:r>
      <w:r>
        <w:t xml:space="preserve">titrated to the load condition of the cation exchange step and filtered. Samples are</w:t>
      </w:r>
      <w:r>
        <w:t xml:space="preserve"> </w:t>
      </w:r>
      <w:r>
        <w:t xml:space="preserve">drawn as described in §5.4.</w:t>
      </w:r>
    </w:p>
    <w:p>
      <w:pPr>
        <w:pStyle w:val="BodyText"/>
      </w:pPr>
      <w:r>
        <w:t xml:space="preserve">Inputs controlled to platform specification are not characterized in this study. Buffer</w:t>
      </w:r>
      <w:r>
        <w:t xml:space="preserve"> </w:t>
      </w:r>
      <w:r>
        <w:t xml:space="preserve">and titrant composition, vessel material, mixing rate and filter type are fixed at their</w:t>
      </w:r>
      <w:r>
        <w:t xml:space="preserve"> </w:t>
      </w:r>
      <w:r>
        <w:t xml:space="preserve">platform settings, are covered by identity and quality control, and are held constant</w:t>
      </w:r>
      <w:r>
        <w:t xml:space="preserve"> </w:t>
      </w:r>
      <w:r>
        <w:t xml:space="preserve">across every run of the design. Varying them would confound the parameters the study is</w:t>
      </w:r>
      <w:r>
        <w:t xml:space="preserve"> </w:t>
      </w:r>
      <w:r>
        <w:t xml:space="preserve">built to resolve.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carry the study are listed with the other controlled</w:t>
      </w:r>
      <w:r>
        <w:t xml:space="preserve"> </w:t>
      </w:r>
      <w:r>
        <w:t xml:space="preserve">documents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XMuLV infectivity is measured as a fifty-percent tissue culture</w:t>
      </w:r>
      <w:r>
        <w:t xml:space="preserve"> </w:t>
      </w:r>
      <w:r>
        <w:t xml:space="preserve">infectious dose (TCID50) under AMV-3017, aggregate by size-exclusion chromatography under</w:t>
      </w:r>
      <w:r>
        <w:t xml:space="preserve"> </w:t>
      </w:r>
      <w:r>
        <w:t xml:space="preserve">AMV-3011, and acidic charge variants by imaged capillary isoelectric focusing under</w:t>
      </w:r>
      <w:r>
        <w:t xml:space="preserve"> </w:t>
      </w:r>
      <w:r>
        <w:t xml:space="preserve">AMV-3013, and each method is validated for the neutralized hold pool as well as for the</w:t>
      </w:r>
      <w:r>
        <w:t xml:space="preserve"> </w:t>
      </w:r>
      <w:r>
        <w:t xml:space="preserve">load presented to the step.</w:t>
      </w:r>
    </w:p>
    <w:p>
      <w:pPr>
        <w:pStyle w:val="BodyText"/>
      </w:pPr>
      <w:r>
        <w:t xml:space="preserve">The log reduction factor is the difference between the log₁₀ total infectivity of the</w:t>
      </w:r>
      <w:r>
        <w:t xml:space="preserve"> </w:t>
      </w:r>
      <w:r>
        <w:t xml:space="preserve">spiked load and the log₁₀ total infectivity of the held pool, with the volume of each</w:t>
      </w:r>
      <w:r>
        <w:t xml:space="preserve"> </w:t>
      </w:r>
      <w:r>
        <w:t xml:space="preserve">taken into account. Method performance, including the limit of detection that bounds the</w:t>
      </w:r>
      <w:r>
        <w:t xml:space="preserve"> </w:t>
      </w:r>
      <w:r>
        <w:t xml:space="preserve">largest reduction the assay can report, is held in the validation records named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and is summarized in PCR-006. Where a pool sample gives no detectable virus, the</w:t>
      </w:r>
      <w:r>
        <w:t xml:space="preserve"> </w:t>
      </w:r>
      <w:r>
        <w:t xml:space="preserve">reduction will be reported as at least the value calculated from the detection limit, and</w:t>
      </w:r>
      <w:r>
        <w:t xml:space="preserve"> </w:t>
      </w:r>
      <w:r>
        <w:t xml:space="preserve">that run will not be treated as a point estimate of the reduction achieved.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Every run gives a spiked load sample and an end-of-hold pool sample, and both are assayed</w:t>
      </w:r>
      <w:r>
        <w:t xml:space="preserve"> </w:t>
      </w:r>
      <w:r>
        <w:t xml:space="preserve">for infectivity, for aggregate and for charge variants. The load sample fixes the input</w:t>
      </w:r>
      <w:r>
        <w:t xml:space="preserve"> </w:t>
      </w:r>
      <w:r>
        <w:t xml:space="preserve">titre and the input quality of the run, so each run carries its own control and the</w:t>
      </w:r>
      <w:r>
        <w:t xml:space="preserve"> </w:t>
      </w:r>
      <w:r>
        <w:t xml:space="preserve">reduction is calculated within the run. Load attributes (aggregate, acidic variants and protein</w:t>
      </w:r>
      <w:r>
        <w:t xml:space="preserve"> </w:t>
      </w:r>
      <w:r>
        <w:t xml:space="preserve">concentration) are recorded for every run, so that a load outside its usual composition can be identified afterwards.</w:t>
      </w:r>
    </w:p>
    <w:p>
      <w:pPr>
        <w:pStyle w:val="BodyText"/>
      </w:pPr>
      <w:r>
        <w:t xml:space="preserve">Time-course samples will be drawn at intermediate points during the hold on the</w:t>
      </w:r>
      <w:r>
        <w:t xml:space="preserve"> </w:t>
      </w:r>
      <w:r>
        <w:t xml:space="preserve">centre-point runs. These samples confirm the shape of the inactivation curve and show</w:t>
      </w:r>
      <w:r>
        <w:t xml:space="preserve"> </w:t>
      </w:r>
      <w:r>
        <w:t xml:space="preserve">whether the reduction is complete before the end of the shortest hold in the design,</w:t>
      </w:r>
      <w:r>
        <w:t xml:space="preserve"> </w:t>
      </w:r>
      <w:r>
        <w:t xml:space="preserve">which is the question a hold-time range answers only indirectly. Samples are neutralized</w:t>
      </w:r>
      <w:r>
        <w:t xml:space="preserve"> </w:t>
      </w:r>
      <w:r>
        <w:t xml:space="preserve">on withdrawal and handled under SOP-2009, and identity, time of withdrawal and analyst</w:t>
      </w:r>
      <w:r>
        <w:t xml:space="preserve"> </w:t>
      </w:r>
      <w:r>
        <w:t xml:space="preserve">are recorded at the point of collection (§9).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follows SOP-1002. Each parameter is coded so that the low and high edges of</w:t>
      </w:r>
      <w:r>
        <w:t xml:space="preserve"> </w:t>
      </w:r>
      <w:r>
        <w:t xml:space="preserve">its characterization range take the coded levels -1 and +1 and the midpoint takes the</w:t>
      </w:r>
      <w:r>
        <w:t xml:space="preserve"> </w:t>
      </w:r>
      <w:r>
        <w:t xml:space="preserve">coded level 0. Coding puts parameters measured in different units on a common scale, so</w:t>
      </w:r>
      <w:r>
        <w:t xml:space="preserve"> </w:t>
      </w:r>
      <w:r>
        <w:t xml:space="preserve">that the estimated effects can be compared directly. The screening data will be fitted by</w:t>
      </w:r>
      <w:r>
        <w:t xml:space="preserve"> </w:t>
      </w:r>
      <w:r>
        <w:t xml:space="preserve">ordinary least squares with all main effects and all two-factor interactions, and an</w:t>
      </w:r>
      <w:r>
        <w:t xml:space="preserve"> </w:t>
      </w:r>
      <w:r>
        <w:t xml:space="preserve">effect will be reported as twice the corresponding coded coefficient. Significance is</w:t>
      </w:r>
      <w:r>
        <w:t xml:space="preserve"> </w:t>
      </w:r>
      <w:r>
        <w:t xml:space="preserve">judged at α = 0.05.</w:t>
      </w:r>
    </w:p>
    <w:p>
      <w:pPr>
        <w:pStyle w:val="BodyText"/>
      </w:pPr>
      <w:r>
        <w:t xml:space="preserve">The response-surface data will be fitted with the full quadratic model in the</w:t>
      </w:r>
      <w:r>
        <w:t xml:space="preserve"> </w:t>
      </w:r>
      <w:r>
        <w:t xml:space="preserve">multivariate parameters. Model adequacy will be judged on the coefficient of</w:t>
      </w:r>
      <w:r>
        <w:t xml:space="preserve"> </w:t>
      </w:r>
      <w:r>
        <w:t xml:space="preserve">determination, on its adjusted and predicted forms, on the overall F test, and on an</w:t>
      </w:r>
      <w:r>
        <w:t xml:space="preserve"> </w:t>
      </w:r>
      <w:r>
        <w:t xml:space="preserve">analysis of variance that partitions the residual variation into lack of fit and pure</w:t>
      </w:r>
      <w:r>
        <w:t xml:space="preserve"> </w:t>
      </w:r>
      <w:r>
        <w:t xml:space="preserve">error from the replicated centre points. A model whose lack of fit is significant at</w:t>
      </w:r>
      <w:r>
        <w:t xml:space="preserve"> </w:t>
      </w:r>
      <w:r>
        <w:t xml:space="preserve">α = 0.05 will not be used to define the operating region, and both the deficiency and the</w:t>
      </w:r>
      <w:r>
        <w:t xml:space="preserve"> </w:t>
      </w:r>
      <w:r>
        <w:t xml:space="preserve">action taken in response will be reported in PCR-006.</w:t>
      </w:r>
    </w:p>
    <w:p>
      <w:pPr>
        <w:pStyle w:val="BodyText"/>
      </w:pPr>
      <w:r>
        <w:t xml:space="preserve">The two designs do different work. The screening design identifies which parameters and</w:t>
      </w:r>
      <w:r>
        <w:t xml:space="preserve"> </w:t>
      </w:r>
      <w:r>
        <w:t xml:space="preserve">which interactions are active over the ranges studied. The response-surface model is the</w:t>
      </w:r>
      <w:r>
        <w:t xml:space="preserve"> </w:t>
      </w:r>
      <w:r>
        <w:t xml:space="preserve">predictive model, and it is the basis of the operating region, of the proven acceptable</w:t>
      </w:r>
      <w:r>
        <w:t xml:space="preserve"> </w:t>
      </w:r>
      <w:r>
        <w:t xml:space="preserve">ranges of §8 and of any prediction at a condition the design did not run. No design-space</w:t>
      </w:r>
      <w:r>
        <w:t xml:space="preserve"> </w:t>
      </w:r>
      <w:r>
        <w:t xml:space="preserve">claim will be made from the screening fit.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batches, with the parameters drawn from their normal</w:t>
      </w:r>
      <w:r>
        <w:t xml:space="preserve"> </w:t>
      </w:r>
      <w:r>
        <w:t xml:space="preserve">operating ranges and propagated through the fitted response-surface model. It will be</w:t>
      </w:r>
      <w:r>
        <w:t xml:space="preserve"> </w:t>
      </w:r>
      <w:r>
        <w:t xml:space="preserve">reported in PCR-006 as a one-sided capability index against each criterion of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.</w:t>
      </w:r>
      <w:r>
        <w:t xml:space="preserve"> </w:t>
      </w:r>
      <w:r>
        <w:t xml:space="preserve">The capability estimate informs the control strategy, and this plan sets no numeric</w:t>
      </w:r>
      <w:r>
        <w:t xml:space="preserve"> </w:t>
      </w:r>
      <w:r>
        <w:t xml:space="preserve">capability threshold as a condition of the study.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of the step, their set-points, their characterization ranges, their normal</w:t>
      </w:r>
      <w:r>
        <w:t xml:space="preserve"> </w:t>
      </w:r>
      <w:r>
        <w:t xml:space="preserve">operating ranges and their study type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their characterization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Every characterization range is wider than the range the process is controlled to. The</w:t>
      </w:r>
      <w:r>
        <w:t xml:space="preserve"> </w:t>
      </w:r>
      <w:r>
        <w:t xml:space="preserve">ranges are expanded beyond the normal operating ranges so that the study describes the</w:t>
      </w:r>
      <w:r>
        <w:t xml:space="preserve"> </w:t>
      </w:r>
      <w:r>
        <w:t xml:space="preserve">step at conditions the process will not normally see, which is what allows a future</w:t>
      </w:r>
      <w:r>
        <w:t xml:space="preserve"> </w:t>
      </w:r>
      <w:r>
        <w:t xml:space="preserve">excursion to be assessed against data instead of against judgement at the time it occurs.</w:t>
      </w:r>
      <w:r>
        <w:t xml:space="preserve"> </w:t>
      </w:r>
      <w:r>
        <w:t xml:space="preserve">The expansion is not symmetric, because the risk that each edge represents is not symmetric.</w:t>
      </w:r>
    </w:p>
    <w:p>
      <w:pPr>
        <w:pStyle w:val="BodyText"/>
      </w:pPr>
      <w:r>
        <w:t xml:space="preserve">The pH range is the narrowest of the multivariate ranges in relative terms, and each of its edges is</w:t>
      </w:r>
      <w:r>
        <w:t xml:space="preserve"> </w:t>
      </w:r>
      <w:r>
        <w:t xml:space="preserve">placed by a different mechanism. The upper edge is set where incomplete inactivation</w:t>
      </w:r>
      <w:r>
        <w:t xml:space="preserve"> </w:t>
      </w:r>
      <w:r>
        <w:t xml:space="preserve">becomes the limiting concern, since the reduction achieved falls as pH rises. The lower</w:t>
      </w:r>
      <w:r>
        <w:t xml:space="preserve"> </w:t>
      </w:r>
      <w:r>
        <w:t xml:space="preserve">edge is set above the pH at which acid-induced aggregation of the platform antibodies has</w:t>
      </w:r>
      <w:r>
        <w:t xml:space="preserve"> </w:t>
      </w:r>
      <w:r>
        <w:t xml:space="preserve">been observed</w:t>
      </w:r>
      <w:r>
        <w:t xml:space="preserve"> </w:t>
      </w:r>
      <w:r>
        <w:t xml:space="preserve">(CMC Biotech Working Group 2009)</w:t>
      </w:r>
      <w:r>
        <w:t xml:space="preserve">, so that the study bounds the product-quality risk without</w:t>
      </w:r>
      <w:r>
        <w:t xml:space="preserve"> </w:t>
      </w:r>
      <w:r>
        <w:t xml:space="preserve">running into it. Hold time is expanded upward only. A hold shorter than the routine</w:t>
      </w:r>
      <w:r>
        <w:t xml:space="preserve"> </w:t>
      </w:r>
      <w:r>
        <w:t xml:space="preserve">minimum is not a condition the procedure permits, and the case that needs bounding is the</w:t>
      </w:r>
      <w:r>
        <w:t xml:space="preserve"> </w:t>
      </w:r>
      <w:r>
        <w:t xml:space="preserve">hold extended by an interruption downstream. Temperature brackets its normal operating</w:t>
      </w:r>
      <w:r>
        <w:t xml:space="preserve"> </w:t>
      </w:r>
      <w:r>
        <w:t xml:space="preserve">range on both sides, at the limits to which the jacket of the temperature-controlled hold</w:t>
      </w:r>
      <w:r>
        <w:t xml:space="preserve"> </w:t>
      </w:r>
      <w:r>
        <w:t xml:space="preserve">vessel can be set (§5.2).</w:t>
      </w:r>
    </w:p>
    <w:p>
      <w:pPr>
        <w:pStyle w:val="BodyText"/>
      </w:pPr>
      <w:r>
        <w:t xml:space="preserve">The letter codes used in the design matrices and in the analysis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Factor legend for the coded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full two-level factorial in the 3 multivariate</w:t>
      </w:r>
      <w:r>
        <w:t xml:space="preserve"> </w:t>
      </w:r>
      <w:r>
        <w:t xml:space="preserve">parameters with 3 centre points, giving 11 runs. A full</w:t>
      </w:r>
      <w:r>
        <w:t xml:space="preserve"> </w:t>
      </w:r>
      <w:r>
        <w:t xml:space="preserve">factorial estimates every main effect and every two-factor</w:t>
      </w:r>
      <w:r>
        <w:t xml:space="preserve"> </w:t>
      </w:r>
      <w:r>
        <w:t xml:space="preserve">interaction without aliasing, so no effect the study is interested in is confounded with</w:t>
      </w:r>
      <w:r>
        <w:t xml:space="preserve"> </w:t>
      </w:r>
      <w:r>
        <w:t xml:space="preserve">another, and the three-factor interaction, which prior knowledge gives no reason to</w:t>
      </w:r>
      <w:r>
        <w:t xml:space="preserve"> </w:t>
      </w:r>
      <w:r>
        <w:t xml:space="preserve">expect, is the only term left in the residual. The centre points give a direct estimate</w:t>
      </w:r>
      <w:r>
        <w:t xml:space="preserve"> </w:t>
      </w:r>
      <w:r>
        <w:t xml:space="preserve">of pure error and an indication of curvature. The run order will be randomized, and the</w:t>
      </w:r>
      <w:r>
        <w:t xml:space="preserve"> </w:t>
      </w:r>
      <w:r>
        <w:t xml:space="preserve">planned coded matrix is given in Appendix A.</w:t>
      </w:r>
    </w:p>
    <w:p>
      <w:pPr>
        <w:pStyle w:val="BodyText"/>
      </w:pPr>
      <w:r>
        <w:t xml:space="preserve">The screening study identifies which parameters and interactions are active over the</w:t>
      </w:r>
      <w:r>
        <w:t xml:space="preserve"> </w:t>
      </w:r>
      <w:r>
        <w:t xml:space="preserve">ranges studied. It does not define an operating region, and no range will be justified</w:t>
      </w:r>
      <w:r>
        <w:t xml:space="preserve"> </w:t>
      </w:r>
      <w:r>
        <w:t xml:space="preserve">from it alone.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in the same</w:t>
      </w:r>
      <w:r>
        <w:t xml:space="preserve"> </w:t>
      </w:r>
      <w:r>
        <w:t xml:space="preserve">3 parameters, with 8 factorial runs,</w:t>
      </w:r>
      <w:r>
        <w:t xml:space="preserve"> </w:t>
      </w:r>
      <w:r>
        <w:t xml:space="preserve">6 axial runs and 4 centre points, giving</w:t>
      </w:r>
      <w:r>
        <w:t xml:space="preserve"> </w:t>
      </w:r>
      <w:r>
        <w:t xml:space="preserve">18 runs. The axial runs sit on the faces of the design cube, so the design</w:t>
      </w:r>
      <w:r>
        <w:t xml:space="preserve"> </w:t>
      </w:r>
      <w:r>
        <w:t xml:space="preserve">adds the curvature terms without going outside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Each parameter is observed at its low edge, its midpoint and its</w:t>
      </w:r>
      <w:r>
        <w:t xml:space="preserve"> </w:t>
      </w:r>
      <w:r>
        <w:t xml:space="preserve">high edge, which is what the estimate of a quadratic term requires.</w:t>
      </w:r>
    </w:p>
    <w:p>
      <w:pPr>
        <w:pStyle w:val="BodyText"/>
      </w:pPr>
      <w:r>
        <w:t xml:space="preserve">Every screening parameter will be carried into the response-surface design whatever the</w:t>
      </w:r>
      <w:r>
        <w:t xml:space="preserve"> </w:t>
      </w:r>
      <w:r>
        <w:t xml:space="preserve">screening outcome. The design is small, a parameter dropped after screening cannot</w:t>
      </w:r>
      <w:r>
        <w:t xml:space="preserve"> </w:t>
      </w:r>
      <w:r>
        <w:t xml:space="preserve">contribute a curvature term or an interaction to the predictive model, and the cost of</w:t>
      </w:r>
      <w:r>
        <w:t xml:space="preserve"> </w:t>
      </w:r>
      <w:r>
        <w:t xml:space="preserve">carrying a parameter that turns out to be inactive is a few runs against the cost of a</w:t>
      </w:r>
      <w:r>
        <w:t xml:space="preserve"> </w:t>
      </w:r>
      <w:r>
        <w:t xml:space="preserve">second execution. The planned coded matrix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assessed one parameter at a time, at the low, middle and high</w:t>
      </w:r>
      <w:r>
        <w:t xml:space="preserve"> </w:t>
      </w:r>
      <w:r>
        <w:t xml:space="preserve">points of its characterization range, with the other parameters held at their</w:t>
      </w:r>
      <w:r>
        <w:t xml:space="preserve"> </w:t>
      </w:r>
      <w:r>
        <w:t xml:space="preserve">set-points. These runs are spiked, sampled and assayed exactly as the multivariate runs</w:t>
      </w:r>
      <w:r>
        <w:t xml:space="preserve"> </w:t>
      </w:r>
      <w:r>
        <w:t xml:space="preserve">are. The assessment answers a single question, which is whether the log reduction factor</w:t>
      </w:r>
      <w:r>
        <w:t xml:space="preserve"> </w:t>
      </w:r>
      <w:r>
        <w:t xml:space="preserve">and the change in aggregate across the hold are constant over the concentration range the</w:t>
      </w:r>
      <w:r>
        <w:t xml:space="preserve"> </w:t>
      </w:r>
      <w:r>
        <w:t xml:space="preserve">capture step delivers.</w:t>
      </w:r>
    </w:p>
    <w:p>
      <w:pPr>
        <w:pStyle w:val="BodyText"/>
      </w:pPr>
      <w:r>
        <w:t xml:space="preserve">A null result is an outcome and not a gap. If concentration has no measurable effect on</w:t>
      </w:r>
      <w:r>
        <w:t xml:space="preserve"> </w:t>
      </w:r>
      <w:r>
        <w:t xml:space="preserve">either response, the parameter will be classified on that evidence in PCR-006, its full</w:t>
      </w:r>
      <w:r>
        <w:t xml:space="preserve"> </w:t>
      </w:r>
      <w:r>
        <w:t xml:space="preserve">characterization range will be carried forward as an acceptable range, and the runs will</w:t>
      </w:r>
      <w:r>
        <w:t xml:space="preserve"> </w:t>
      </w:r>
      <w:r>
        <w:t xml:space="preserve">remain in the knowledge space as evidence that the step is insensitive to it.</w:t>
      </w:r>
    </w:p>
    <w:bookmarkEnd w:id="34"/>
    <w:bookmarkEnd w:id="35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the criteria of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are met simultaneously over a</w:t>
      </w:r>
      <w:r>
        <w:t xml:space="preserve"> </w:t>
      </w:r>
      <w:r>
        <w:t xml:space="preserve">contiguous region of the multivariate parameters. Meeting them individually at</w:t>
      </w:r>
      <w:r>
        <w:t xml:space="preserve"> </w:t>
      </w:r>
      <w:r>
        <w:t xml:space="preserve">different conditions is not a pass, because the process must satisfy all of them at</w:t>
      </w:r>
      <w:r>
        <w:t xml:space="preserve"> </w:t>
      </w:r>
      <w:r>
        <w:t xml:space="preserve">whatever condition it is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criteria for the measured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52"/>
              <w:gridCol w:w="4442"/>
              <w:gridCol w:w="212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 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of the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applied to the pool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5 %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Steps 8 and 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 log₁₀ across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40 % (CEX/icIEF)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clearance criterion is a floor, and it is derived rather than specified. The</w:t>
      </w:r>
      <w:r>
        <w:t xml:space="preserve"> </w:t>
      </w:r>
      <w:r>
        <w:t xml:space="preserve">drug-substance requirement for enveloped virus is cumulative over the purification train</w:t>
      </w:r>
      <w:r>
        <w:t xml:space="preserve"> </w:t>
      </w:r>
      <w:r>
        <w:t xml:space="preserve">and is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as at least 16.7 log₁₀. The anion exchange</w:t>
      </w:r>
      <w:r>
        <w:t xml:space="preserve"> </w:t>
      </w:r>
      <w:r>
        <w:t xml:space="preserve">and small-virus retentive filtration steps (Steps 8 and 9) are credited with defined</w:t>
      </w:r>
      <w:r>
        <w:t xml:space="preserve"> </w:t>
      </w:r>
      <w:r>
        <w:t xml:space="preserve">contributions to that total in the modular claim, and subtracting those contributions</w:t>
      </w:r>
      <w:r>
        <w:t xml:space="preserve"> </w:t>
      </w:r>
      <w:r>
        <w:t xml:space="preserve">from the cumulative requirement leaves what this step must deliver on its own. The resulting floor is</w:t>
      </w:r>
      <w:r>
        <w:t xml:space="preserve"> </w:t>
      </w:r>
      <w:r>
        <w:t xml:space="preserve">4.93 log₁₀, and every condition inside the operating region must</w:t>
      </w:r>
      <w:r>
        <w:t xml:space="preserve"> </w:t>
      </w:r>
      <w:r>
        <w:t xml:space="preserve">meet it.</w:t>
      </w:r>
    </w:p>
    <w:p>
      <w:pPr>
        <w:pStyle w:val="BodyText"/>
      </w:pPr>
      <w:r>
        <w:t xml:space="preserve">The clearance criterion is applied to the mean response predicted by the model. A</w:t>
      </w:r>
      <w:r>
        <w:t xml:space="preserve"> </w:t>
      </w:r>
      <w:r>
        <w:t xml:space="preserve">response surface predicts mean levels, so a region drawn on the mean alone offers only</w:t>
      </w:r>
      <w:r>
        <w:t xml:space="preserve"> </w:t>
      </w:r>
      <w:r>
        <w:t xml:space="preserve">even odds of meeting the criterion at its own edge. The region will therefore be reported</w:t>
      </w:r>
      <w:r>
        <w:t xml:space="preserve"> </w:t>
      </w:r>
      <w:r>
        <w:t xml:space="preserve">twice, once on the mean prediction and once with a prediction interval applied, and the</w:t>
      </w:r>
      <w:r>
        <w:t xml:space="preserve"> </w:t>
      </w:r>
      <w:r>
        <w:t xml:space="preserve">second of these is the region that supports the control strategy, because the control</w:t>
      </w:r>
      <w:r>
        <w:t xml:space="preserve"> </w:t>
      </w:r>
      <w:r>
        <w:t xml:space="preserve">strategy has to hold for a batch and not for the average of many batches. The interval</w:t>
      </w:r>
      <w:r>
        <w:t xml:space="preserve"> </w:t>
      </w:r>
      <w:r>
        <w:t xml:space="preserve">accounts for process variation, for assay variation and for the uncertainty of the fitted model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The remaining criteria are ceilings taken directly from the drug-substance</w:t>
      </w:r>
      <w:r>
        <w:t xml:space="preserve"> </w:t>
      </w:r>
      <w:r>
        <w:t xml:space="preserve">specifications. The step is credited with no reduction of either attribute, so the</w:t>
      </w:r>
      <w:r>
        <w:t xml:space="preserve"> </w:t>
      </w:r>
      <w:r>
        <w:t xml:space="preserve">decision rule is that the pool stays inside its specification everywhere in the region</w:t>
      </w:r>
      <w:r>
        <w:t xml:space="preserve"> </w:t>
      </w:r>
      <w:r>
        <w:t xml:space="preserve">and that the change across the hold is quantified against the load. An increase that</w:t>
      </w:r>
      <w:r>
        <w:t xml:space="preserve"> </w:t>
      </w:r>
      <w:r>
        <w:t xml:space="preserve">remains inside the specification is an acceptable outcome, and it will be reported with</w:t>
      </w:r>
      <w:r>
        <w:t xml:space="preserve"> </w:t>
      </w:r>
      <w:r>
        <w:t xml:space="preserve">its magnitude and not only with its disposition.</w:t>
      </w:r>
    </w:p>
    <w:p>
      <w:pPr>
        <w:pStyle w:val="BodyText"/>
      </w:pPr>
      <w:r>
        <w:t xml:space="preserve">Model adequacy is a precondition of the operating region and not a criterion applied to</w:t>
      </w:r>
      <w:r>
        <w:t xml:space="preserve"> </w:t>
      </w:r>
      <w:r>
        <w:t xml:space="preserve">the process. The region will be declared from the response-surface model only where the</w:t>
      </w:r>
      <w:r>
        <w:t xml:space="preserve"> </w:t>
      </w:r>
      <w:r>
        <w:t xml:space="preserve">lack-of-fit test is not significant at α = 0.05 and the predicted coefficient of</w:t>
      </w:r>
      <w:r>
        <w:t xml:space="preserve"> </w:t>
      </w:r>
      <w:r>
        <w:t xml:space="preserve">determination supports prediction and not merely description. Where a response fails that</w:t>
      </w:r>
      <w:r>
        <w:t xml:space="preserve"> </w:t>
      </w:r>
      <w:r>
        <w:t xml:space="preserve">test, the range for the parameters governing it will be set from the observed data at the</w:t>
      </w:r>
      <w:r>
        <w:t xml:space="preserve"> </w:t>
      </w:r>
      <w:r>
        <w:t xml:space="preserve">design points, and the limitation will be stated in PCR-006.</w:t>
      </w:r>
    </w:p>
    <w:p>
      <w:pPr>
        <w:pStyle w:val="BodyText"/>
      </w:pPr>
      <w:r>
        <w:t xml:space="preserve">Two outcomes end the study without an operating region. If no contiguous set of</w:t>
      </w:r>
      <w:r>
        <w:t xml:space="preserve"> </w:t>
      </w:r>
      <w:r>
        <w:t xml:space="preserve">conditions satisfies every criterion at once, the ranges will be re-cut and the study</w:t>
      </w:r>
      <w:r>
        <w:t xml:space="preserve"> </w:t>
      </w:r>
      <w:r>
        <w:t xml:space="preserve">repeated under a revised plan. If the scale-down model fails its qualification, no result from the</w:t>
      </w:r>
      <w:r>
        <w:t xml:space="preserve"> </w:t>
      </w:r>
      <w:r>
        <w:t xml:space="preserve">study will be used, and the failure will be reported under SOP-1001.</w:t>
      </w:r>
    </w:p>
    <w:p>
      <w:pPr>
        <w:pStyle w:val="BodyText"/>
      </w:pPr>
      <w:r>
        <w:t xml:space="preserve">Meeting the step criterion does not establish the viral safety of the drug substance.</w:t>
      </w:r>
      <w:r>
        <w:t xml:space="preserve"> </w:t>
      </w:r>
      <w:r>
        <w:t xml:space="preserve">The cumulative claim is assembled in PCMR-001 from this step, from PCR-008 and from</w:t>
      </w:r>
      <w:r>
        <w:t xml:space="preserve"> </w:t>
      </w:r>
      <w:r>
        <w:t xml:space="preserve">PCR-009, and the argument that the contributing mechanisms are orthogonal is made there.</w:t>
      </w:r>
    </w:p>
    <w:bookmarkEnd w:id="37"/>
    <w:bookmarkStart w:id="38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will be reported for each governed attribute and each of the</w:t>
      </w:r>
      <w:r>
        <w:t xml:space="preserve"> </w:t>
      </w:r>
      <w:r>
        <w:t xml:space="preserve">multivariate parameters. The acceptance basis is the one used in §7. For aggregate</w:t>
      </w:r>
      <w:r>
        <w:t xml:space="preserve"> </w:t>
      </w:r>
      <w:r>
        <w:t xml:space="preserve">and acidic variants it is the drug-substance specification, and for enveloped-virus</w:t>
      </w:r>
      <w:r>
        <w:t xml:space="preserve"> </w:t>
      </w:r>
      <w:r>
        <w:t xml:space="preserve">clearance it is the back-calculated step floor of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.</w:t>
      </w:r>
    </w:p>
    <w:p>
      <w:pPr>
        <w:pStyle w:val="BodyText"/>
      </w:pPr>
      <w:r>
        <w:t xml:space="preserve">Two analyses will be run for every pair of parameter and attribute. The first holds the</w:t>
      </w:r>
      <w:r>
        <w:t xml:space="preserve"> </w:t>
      </w:r>
      <w:r>
        <w:t xml:space="preserve">other parameters at their set-points and scans the parameter of interest across its</w:t>
      </w:r>
      <w:r>
        <w:t xml:space="preserve"> </w:t>
      </w:r>
      <w:r>
        <w:t xml:space="preserve">characterization range. The second propagates the normal operating ranges of the other</w:t>
      </w:r>
      <w:r>
        <w:t xml:space="preserve"> </w:t>
      </w:r>
      <w:r>
        <w:t xml:space="preserve">parameters, drawing each of them at random inside its own range and evaluating the fitted</w:t>
      </w:r>
      <w:r>
        <w:t xml:space="preserve"> </w:t>
      </w:r>
      <w:r>
        <w:t xml:space="preserve">response-surface model at every point of the scan. The scan uses 81</w:t>
      </w:r>
      <w:r>
        <w:t xml:space="preserve"> </w:t>
      </w:r>
      <w:r>
        <w:t xml:space="preserve">grid points across the characterization range and 2,000 draws at</w:t>
      </w:r>
      <w:r>
        <w:t xml:space="preserve"> </w:t>
      </w:r>
      <w:r>
        <w:t xml:space="preserve">each grid point, under a fixed random seed so that the analysis reproduces exactly.</w:t>
      </w:r>
    </w:p>
    <w:p>
      <w:pPr>
        <w:pStyle w:val="BodyText"/>
      </w:pPr>
      <w:r>
        <w:t xml:space="preserve">The second analysis is the reproducible default for the control strategy. It answers the</w:t>
      </w:r>
      <w:r>
        <w:t xml:space="preserve"> </w:t>
      </w:r>
      <w:r>
        <w:t xml:space="preserve">question a manufacturing deviation actually raises, which is whether one parameter is</w:t>
      </w:r>
      <w:r>
        <w:t xml:space="preserve"> </w:t>
      </w:r>
      <w:r>
        <w:t xml:space="preserve">acceptable while everything else sits somewhere inside its own range instead of at a</w:t>
      </w:r>
      <w:r>
        <w:t xml:space="preserve"> </w:t>
      </w:r>
      <w:r>
        <w:t xml:space="preserve">nominal value. The first analysis is retained because it isolates the parameter, and the</w:t>
      </w:r>
      <w:r>
        <w:t xml:space="preserve"> </w:t>
      </w:r>
      <w:r>
        <w:t xml:space="preserve">difference between the two is a direct measure of how much the other parameters matter.</w:t>
      </w:r>
    </w:p>
    <w:p>
      <w:pPr>
        <w:pStyle w:val="BodyText"/>
      </w:pPr>
      <w:r>
        <w:t xml:space="preserve">The decision rule is the same in both analyses. The proven acceptable range of a</w:t>
      </w:r>
      <w:r>
        <w:t xml:space="preserve"> </w:t>
      </w:r>
      <w:r>
        <w:t xml:space="preserve">parameter is the contiguous interval around the set-point over which the predicted</w:t>
      </w:r>
      <w:r>
        <w:t xml:space="preserve"> </w:t>
      </w:r>
      <w:r>
        <w:t xml:space="preserve">response stays inside its acceptance criterion, and it is reported in the units of the</w:t>
      </w:r>
      <w:r>
        <w:t xml:space="preserve"> </w:t>
      </w:r>
      <w:r>
        <w:t xml:space="preserve">parameter. Where both analyses give the same interval and that interval covers the whole</w:t>
      </w:r>
      <w:r>
        <w:t xml:space="preserve"> </w:t>
      </w:r>
      <w:r>
        <w:t xml:space="preserve">characterization range, the parameter is acceptable everywhere it was studied and is also</w:t>
      </w:r>
      <w:r>
        <w:t xml:space="preserve"> </w:t>
      </w:r>
      <w:r>
        <w:t xml:space="preserve">insensitive to co-variation of the others inside their normal operating ranges, as far as</w:t>
      </w:r>
      <w:r>
        <w:t xml:space="preserve"> </w:t>
      </w:r>
      <w:r>
        <w:t xml:space="preserve">the fitted model can show. Where the propagated interval is narrower, the attribute that binds it will be named and the</w:t>
      </w:r>
      <w:r>
        <w:t xml:space="preserve"> </w:t>
      </w:r>
      <w:r>
        <w:t xml:space="preserve">residual margin to the criterion will be given.</w:t>
      </w:r>
    </w:p>
    <w:p>
      <w:pPr>
        <w:pStyle w:val="BodyText"/>
      </w:pPr>
      <w:r>
        <w:t xml:space="preserve">Each governed attribute will be reported with a figure that plots the response against</w:t>
      </w:r>
      <w:r>
        <w:t xml:space="preserve"> </w:t>
      </w:r>
      <w:r>
        <w:t xml:space="preserve">its governing parameter, with the acceptance limit drawn, the acceptable region shaded,</w:t>
      </w:r>
      <w:r>
        <w:t xml:space="preserve"> </w:t>
      </w:r>
      <w:r>
        <w:t xml:space="preserve">and the set-point and the normal operating range marked. The two analyses are the two</w:t>
      </w:r>
      <w:r>
        <w:t xml:space="preserve"> </w:t>
      </w:r>
      <w:r>
        <w:t xml:space="preserve">panels of that figure.</w:t>
      </w:r>
    </w:p>
    <w:p>
      <w:pPr>
        <w:pStyle w:val="BodyText"/>
      </w:pPr>
      <w:r>
        <w:t xml:space="preserve">A proven acceptable range and an operating region answer different questions. A proven</w:t>
      </w:r>
      <w:r>
        <w:t xml:space="preserve"> </w:t>
      </w:r>
      <w:r>
        <w:t xml:space="preserve">acceptable range is a statement about one parameter under stated conditions for the</w:t>
      </w:r>
      <w:r>
        <w:t xml:space="preserve"> </w:t>
      </w:r>
      <w:r>
        <w:t xml:space="preserve">others. The region of §7 is multivariate. Where every proven acceptable range covers the</w:t>
      </w:r>
      <w:r>
        <w:t xml:space="preserve"> </w:t>
      </w:r>
      <w:r>
        <w:t xml:space="preserve">whole characterization range, the constraint that binds routine operation is a corner of</w:t>
      </w:r>
      <w:r>
        <w:t xml:space="preserve"> </w:t>
      </w:r>
      <w:r>
        <w:t xml:space="preserve">that region and not any single parameter, and PCR-006 will say which corner it is.</w:t>
      </w:r>
    </w:p>
    <w:bookmarkEnd w:id="38"/>
    <w:bookmarkStart w:id="39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recorded, reviewed and retained under the site data-integrity</w:t>
      </w:r>
      <w:r>
        <w:t xml:space="preserve"> </w:t>
      </w:r>
      <w:r>
        <w:t xml:space="preserve">procedures, and every record will be attributable, legible, contemporaneous, original and</w:t>
      </w:r>
      <w:r>
        <w:t xml:space="preserve"> </w:t>
      </w:r>
      <w:r>
        <w:t xml:space="preserve">accurate, as well as complete, consistent, enduring and available. Raw analytical data</w:t>
      </w:r>
      <w:r>
        <w:t xml:space="preserve"> </w:t>
      </w:r>
      <w:r>
        <w:t xml:space="preserve">remain in the validated systems of the analytical laboratory. The design, the run order,</w:t>
      </w:r>
      <w:r>
        <w:t xml:space="preserve"> </w:t>
      </w:r>
      <w:r>
        <w:t xml:space="preserve">the fitted models and the derived ranges are held in the statistical environment</w:t>
      </w:r>
      <w:r>
        <w:t xml:space="preserve"> </w:t>
      </w:r>
      <w:r>
        <w:t xml:space="preserve">identified in SOP-1002, together with the seed and the script that reproduce them.</w:t>
      </w:r>
    </w:p>
    <w:p>
      <w:pPr>
        <w:pStyle w:val="BodyText"/>
      </w:pPr>
      <w:r>
        <w:t xml:space="preserve">Each dataset is reviewed by a second qualified person before it is analysed, and the</w:t>
      </w:r>
      <w:r>
        <w:t xml:space="preserve"> </w:t>
      </w:r>
      <w:r>
        <w:t xml:space="preserve">analysis is checked against the raw records before PCR-006 is issued. Any correction to a</w:t>
      </w:r>
      <w:r>
        <w:t xml:space="preserve"> </w:t>
      </w:r>
      <w:r>
        <w:t xml:space="preserve">recorded value carries its reason, its author and its date, and the original value stays</w:t>
      </w:r>
      <w:r>
        <w:t xml:space="preserve"> </w:t>
      </w:r>
      <w:r>
        <w:t xml:space="preserve">legible.</w:t>
      </w:r>
    </w:p>
    <w:bookmarkEnd w:id="39"/>
    <w:bookmarkStart w:id="41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study is executed by Process Development at the sending site, with the analytical and</w:t>
      </w:r>
      <w:r>
        <w:t xml:space="preserve"> </w:t>
      </w:r>
      <w:r>
        <w:t xml:space="preserve">virological work performed by the functions named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Each function approves</w:t>
      </w:r>
      <w:r>
        <w:t xml:space="preserve"> </w:t>
      </w:r>
      <w:r>
        <w:t xml:space="preserve">the part of the plan it will execute.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executes the scale-down runs, analyses the data and authors PCR-006.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size-variant and charge-variant assays and maintains their validated status.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stock, performs the infectivity assay and runs the cytotoxicity and interference controls.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Confirms that the scale-down model represents the commercial step and reviews the proposed operating ranges.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designs, the analysis and the model-adequacy assessment.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PCR-006 and dispositions any deviation from the plan.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A departure from this plan is raised, investigated and dispositioned under the site</w:t>
      </w:r>
      <w:r>
        <w:t xml:space="preserve"> </w:t>
      </w:r>
      <w:r>
        <w:t xml:space="preserve">deviation procedure. Every deviation is reported in PCR-006 with its investigation, its</w:t>
      </w:r>
      <w:r>
        <w:t xml:space="preserve"> </w:t>
      </w:r>
      <w:r>
        <w:t xml:space="preserve">root cause where one is established, and its assessed impact on the conclusions of the</w:t>
      </w:r>
      <w:r>
        <w:t xml:space="preserve"> </w:t>
      </w:r>
      <w:r>
        <w:t xml:space="preserve">study.</w:t>
      </w:r>
    </w:p>
    <w:bookmarkEnd w:id="41"/>
    <w:bookmarkStart w:id="42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PCR-006. That report gives the qualification status of</w:t>
      </w:r>
      <w:r>
        <w:t xml:space="preserve"> </w:t>
      </w:r>
      <w:r>
        <w:t xml:space="preserve">the scale-down model, the screening and response-surface results, the operating region,</w:t>
      </w:r>
      <w:r>
        <w:t xml:space="preserve"> </w:t>
      </w:r>
      <w:r>
        <w:t xml:space="preserve">the proven acceptable ranges, the parameter classifications and the step’s contribution</w:t>
      </w:r>
      <w:r>
        <w:t xml:space="preserve"> </w:t>
      </w:r>
      <w:r>
        <w:t xml:space="preserve">to the control strategy. It rolls up into PCMR-001.</w:t>
      </w:r>
    </w:p>
    <w:p>
      <w:pPr>
        <w:pStyle w:val="BodyText"/>
      </w:pPr>
      <w:r>
        <w:t xml:space="preserve">The study runs in four phases. The scale-down model is qualified first, and no</w:t>
      </w:r>
      <w:r>
        <w:t xml:space="preserve"> </w:t>
      </w:r>
      <w:r>
        <w:t xml:space="preserve">characterization run starts before its qualification is accepted. The screening study</w:t>
      </w:r>
      <w:r>
        <w:t xml:space="preserve"> </w:t>
      </w:r>
      <w:r>
        <w:t xml:space="preserve">runs next. The response-surface study and the univariate assessment follow, and they may</w:t>
      </w:r>
      <w:r>
        <w:t xml:space="preserve"> </w:t>
      </w:r>
      <w:r>
        <w:t xml:space="preserve">run in parallel where virus stock and assay capacity allow. Analysis and reporting follow</w:t>
      </w:r>
      <w:r>
        <w:t xml:space="preserve"> </w:t>
      </w:r>
      <w:r>
        <w:t xml:space="preserve">the last analytical result. No calendar dates are fixed in this plan, and the campaign</w:t>
      </w:r>
      <w:r>
        <w:t xml:space="preserve"> </w:t>
      </w:r>
      <w:r>
        <w:t xml:space="preserve">schedule is held under PCMP-001.</w:t>
      </w:r>
    </w:p>
    <w:bookmarkEnd w:id="42"/>
    <w:bookmarkStart w:id="43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study rests on four assumptions, and each one carries a risk to the conclusions drawn</w:t>
      </w:r>
      <w:r>
        <w:t xml:space="preserve"> </w:t>
      </w:r>
      <w:r>
        <w:t xml:space="preserve">from it.</w:t>
      </w:r>
    </w:p>
    <w:p>
      <w:pPr>
        <w:pStyle w:val="Compact"/>
        <w:numPr>
          <w:ilvl w:val="0"/>
          <w:numId w:val="1007"/>
        </w:numPr>
      </w:pPr>
      <w:r>
        <w:t xml:space="preserve">The scale-down model represents the commercial hold. This is the largest assumption in</w:t>
      </w:r>
      <w:r>
        <w:t xml:space="preserve"> </w:t>
      </w:r>
      <w:r>
        <w:t xml:space="preserve">the study, because every range it justifies is applied at commercial scale, and it is</w:t>
      </w:r>
      <w:r>
        <w:t xml:space="preserve"> </w:t>
      </w:r>
      <w:r>
        <w:t xml:space="preserve">managed by the qualification described in §5.1 and by the comparison against the</w:t>
      </w:r>
      <w:r>
        <w:t xml:space="preserve"> </w:t>
      </w:r>
      <w:r>
        <w:t xml:space="preserve">clinical and engineering data at scale that PCR-006 will present.</w:t>
      </w:r>
    </w:p>
    <w:p>
      <w:pPr>
        <w:pStyle w:val="Compact"/>
        <w:numPr>
          <w:ilvl w:val="0"/>
          <w:numId w:val="1007"/>
        </w:numPr>
      </w:pPr>
      <w:r>
        <w:t xml:space="preserve">The spiked load behaves like the unspiked pool. A virus spike adds material the</w:t>
      </w:r>
      <w:r>
        <w:t xml:space="preserve"> </w:t>
      </w:r>
      <w:r>
        <w:t xml:space="preserve">commercial process does not contain, and the spike proportion is held low and</w:t>
      </w:r>
      <w:r>
        <w:t xml:space="preserve"> </w:t>
      </w:r>
      <w:r>
        <w:t xml:space="preserve">controlled for that reason. A residual assumption remains, and it is stated as a</w:t>
      </w:r>
      <w:r>
        <w:t xml:space="preserve"> </w:t>
      </w:r>
      <w:r>
        <w:t xml:space="preserve">limitation of the clearance claim in PCR-006.</w:t>
      </w:r>
    </w:p>
    <w:p>
      <w:pPr>
        <w:pStyle w:val="Compact"/>
        <w:numPr>
          <w:ilvl w:val="0"/>
          <w:numId w:val="1007"/>
        </w:numPr>
      </w:pPr>
      <w:r>
        <w:t xml:space="preserve">The load entering the step is representative of routine capture material. Aggregate and</w:t>
      </w:r>
      <w:r>
        <w:t xml:space="preserve"> </w:t>
      </w:r>
      <w:r>
        <w:t xml:space="preserve">charge variants are formed upstream, so a load outside its usual composition would move</w:t>
      </w:r>
      <w:r>
        <w:t xml:space="preserve"> </w:t>
      </w:r>
      <w:r>
        <w:t xml:space="preserve">the pool results without any parameter of this step changing. Load attributes are</w:t>
      </w:r>
      <w:r>
        <w:t xml:space="preserve"> </w:t>
      </w:r>
      <w:r>
        <w:t xml:space="preserve">recorded on every run so that the assumption can be tested after the fact.</w:t>
      </w:r>
    </w:p>
    <w:p>
      <w:pPr>
        <w:pStyle w:val="Compact"/>
        <w:numPr>
          <w:ilvl w:val="0"/>
          <w:numId w:val="1007"/>
        </w:numPr>
      </w:pPr>
      <w:r>
        <w:t xml:space="preserve">The fitted model holds only inside the characterization ranges. No prediction will be</w:t>
      </w:r>
      <w:r>
        <w:t xml:space="preserve"> </w:t>
      </w:r>
      <w:r>
        <w:t xml:space="preserve">made outside them, and operation outside them is a change managed under the quality</w:t>
      </w:r>
      <w:r>
        <w:t xml:space="preserve"> </w:t>
      </w:r>
      <w:r>
        <w:t xml:space="preserve">system and not a movement supported by this study.</w:t>
      </w:r>
    </w:p>
    <w:p>
      <w:pPr>
        <w:pStyle w:val="FirstParagraph"/>
      </w:pPr>
      <w:r>
        <w:t xml:space="preserve">Two further risks are practical. Virus stock and infectivity-assay capacity (shared with</w:t>
      </w:r>
      <w:r>
        <w:t xml:space="preserve"> </w:t>
      </w:r>
      <w:r>
        <w:t xml:space="preserve">the studies of PCP-008 and PCP-009) set the rate at which runs can be executed, and a failed assay costs a repeat of the analysis and, in</w:t>
      </w:r>
      <w:r>
        <w:t xml:space="preserve"> </w:t>
      </w:r>
      <w:r>
        <w:t xml:space="preserve">the worst case, of the run. Availability of representative Protein A pool material is the</w:t>
      </w:r>
      <w:r>
        <w:t xml:space="preserve"> </w:t>
      </w:r>
      <w:r>
        <w:t xml:space="preserve">second constraint, and the study will use material pooled from more than one upstream</w:t>
      </w:r>
      <w:r>
        <w:t xml:space="preserve"> </w:t>
      </w:r>
      <w:r>
        <w:t xml:space="preserve">batch where a single batch is insufficient. Both risks affect the schedule of the study</w:t>
      </w:r>
      <w:r>
        <w:t xml:space="preserve"> </w:t>
      </w:r>
      <w:r>
        <w:t xml:space="preserve">and neither affects its conclusions.</w:t>
      </w:r>
    </w:p>
    <w:bookmarkEnd w:id="43"/>
    <w:bookmarkStart w:id="44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approvers named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have signed it. No</w:t>
      </w:r>
      <w:r>
        <w:t xml:space="preserve"> </w:t>
      </w:r>
      <w:r>
        <w:t xml:space="preserve">characterization run under it may start before that date. Any change to the design, to</w:t>
      </w:r>
      <w:r>
        <w:t xml:space="preserve"> </w:t>
      </w:r>
      <w:r>
        <w:t xml:space="preserve">the ranges or to the acceptance criteria requires the same approvals as the original</w:t>
      </w:r>
      <w:r>
        <w:t xml:space="preserve"> </w:t>
      </w:r>
      <w:r>
        <w:t xml:space="preserve">plan, and the change is recorded before the affected runs are executed.</w:t>
      </w:r>
    </w:p>
    <w:bookmarkEnd w:id="44"/>
    <w:bookmarkStart w:id="49" w:name="appendices-ab-planned-design-matr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planned design matrices are given below in coded form, with the letter codes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 Coded -1 and +1 are the low and high edges of each parameter’s</w:t>
      </w:r>
      <w:r>
        <w:t xml:space="preserve"> </w:t>
      </w:r>
      <w:r>
        <w:t xml:space="preserve">characterization range and coded 0 is its midpoint. No response column appears, because</w:t>
      </w:r>
      <w:r>
        <w:t xml:space="preserve"> </w:t>
      </w:r>
      <w:r>
        <w:t xml:space="preserve">no run has yet been executed.</w:t>
      </w:r>
    </w:p>
    <w:bookmarkStart w:id="46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coded screening design matrix (run order to be randomized at execution).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5"/>
          <w:p/>
        </w:tc>
      </w:tr>
    </w:tbl>
    <w:bookmarkEnd w:id="46"/>
    <w:bookmarkStart w:id="48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coded response-surface design matrix (run order to be randomized at execution).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End w:id="49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5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0"/>
    <w:bookmarkStart w:id="5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1"/>
    <w:bookmarkStart w:id="5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2"/>
    <w:bookmarkStart w:id="5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3"/>
    <w:bookmarkStart w:id="5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2026-07-27T13:43:04Z</dcterms:created>
  <dcterms:modified xsi:type="dcterms:W3CDTF">2026-07-27T13:43:04Z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