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8"/>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8"/>
                </w:tcPr>
                <w:p>
                  <w:pPr>
                    <w:pStyle w:val="Compact"/>
                    <w:jc w:val="center"/>
                  </w:pPr>
                  <w:r>
                    <w:rPr>
                      <w:vertAlign w:val="superscript"/>
                    </w:rPr>
                    <w:t xml:space="preserve">c3)</w:t>
                  </w:r>
                  <w:r>
                    <w:t xml:space="preserve"> </w:t>
                  </w:r>
                  <w:r>
                    <w:t xml:space="preserve">Moved at Version 2.0 from pH 3.5, the set-point the studies were run around (PCR-006).</w:t>
                  </w:r>
                </w:p>
              </w:tc>
            </w:tr>
            <w:tr>
              <w:tc>
                <w:tcPr>
                  <w:gridSpan w:val="8"/>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c5)</w:t>
                  </w:r>
                  <w:r>
                    <w:t xml:space="preserve"> </w:t>
                  </w:r>
                  <w:r>
                    <w:t xml:space="preserve">Moved at Version 2.0 from 90 min, the set-point the studies were run around (PCR-006).</w:t>
                  </w:r>
                </w:p>
              </w:tc>
            </w:tr>
            <w:tr>
              <w:tc>
                <w:tcPr>
                  <w:gridSpan w:val="8"/>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residual DNA, leached Protein A), anion exchange (step yield, plate count, peak asymmetry, host cell protein), virus filtration (step yield) and UF/DF (step yield, aggregate, final concentration, permeate flux).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three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4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model adequacy criteria,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18 are in force at their a priori value and verification changed 4.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criterion for host cell protein in the Protein A pool (from 16,000 ng/mg to 17,069 ng/mg) and the criterion for host cell protein in the cation exchange pool (from 400 ng/mg to 427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adequacy criteria of</w:t>
      </w:r>
      <w:r>
        <w:t xml:space="preserve"> </w:t>
      </w:r>
      <w:hyperlink w:anchor="sec-acc-model">
        <w:r>
          <w:rPr>
            <w:rStyle w:val="Hyperlink"/>
          </w:rPr>
          <w:t xml:space="preserve">Section 7.2</w:t>
        </w:r>
      </w:hyperlink>
      <w:r>
        <w:t xml:space="preserve">, the bound replaces the platform value.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model adequacy criteria,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2026-10-10T09:39:15Z</dcterms:created>
  <dcterms:modified xsi:type="dcterms:W3CDTF">2026-10-10T09:39:15Z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