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and the data for the classification of every parameter of the step.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passed the adequacy tests,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17,069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w:t>
                  </w:r>
                </w:p>
              </w:tc>
              <w:tc>
                <w:tcPr/>
                <w:p>
                  <w:pPr>
                    <w:pStyle w:val="Compact"/>
                    <w:jc w:val="center"/>
                  </w:pPr>
                  <w:r>
                    <w:t xml:space="preserve">Response of the response-surface design</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w:t>
                  </w:r>
                </w:p>
              </w:tc>
              <w:tc>
                <w:tcPr/>
                <w:p>
                  <w:pPr>
                    <w:pStyle w:val="Compact"/>
                    <w:jc w:val="center"/>
                  </w:pPr>
                  <w:r>
                    <w:t xml:space="preserve">For information only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protein load to 20–39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End w:id="49"/>
    <w:bookmarkStart w:id="51"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5"/>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5"/>
        </w:numPr>
      </w:pPr>
      <w:r>
        <w:t xml:space="preserve">Model significance. A response-surface model is used for prediction only if the model F-test is significant at α = 0.05.</w:t>
      </w:r>
    </w:p>
    <w:p>
      <w:pPr>
        <w:pStyle w:val="Compact"/>
        <w:numPr>
          <w:ilvl w:val="0"/>
          <w:numId w:val="1005"/>
        </w:numPr>
      </w:pPr>
      <w:r>
        <w:t xml:space="preserve">Lack of fit. The test of lack of fit against pure error is not significant at α = 0.05.</w:t>
      </w:r>
    </w:p>
    <w:p>
      <w:pPr>
        <w:pStyle w:val="Compact"/>
        <w:numPr>
          <w:ilvl w:val="0"/>
          <w:numId w:val="1005"/>
        </w:numPr>
      </w:pPr>
      <w:r>
        <w:t xml:space="preserve">Predictive power. The predicted R², computed from the prediction error sum of squares (PRESS), falls short of the R² of the same model by no more than 0.20.</w:t>
      </w:r>
    </w:p>
    <w:p>
      <w:pPr>
        <w:pStyle w:val="Compact"/>
        <w:numPr>
          <w:ilvl w:val="0"/>
          <w:numId w:val="1005"/>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5"/>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5"/>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0"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17,069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passed the adequacy tests,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0"/>
          <w:p/>
        </w:tc>
      </w:tr>
    </w:tbl>
    <w:bookmarkEnd w:id="51"/>
    <w:bookmarkStart w:id="57" w:name="sec-par"/>
    <w:p>
      <w:pPr>
        <w:pStyle w:val="Heading1"/>
      </w:pPr>
      <w:r>
        <w:t xml:space="preserve">8. Proven acceptable ranges (planned analysis)</w:t>
      </w:r>
    </w:p>
    <w:bookmarkStart w:id="54"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2"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2"/>
          <w:p/>
        </w:tc>
      </w:tr>
    </w:tbl>
    <w:p>
      <w:pPr>
        <w:pStyle w:val="BodyText"/>
      </w:pPr>
      <w:r>
        <w:t xml:space="preserve">For pool host cell protein the drug substance limit of 100 ng/mg is carried back through cation exchange and anion exchange, which together clear host cell protein 170.690-fold in the derivation. That gives 17,069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passed the adequacy tests, and it showed at the one-sided 95 % prediction bound of a single batch that the step clears host cell protein better than its platform worst case. That bound replaced the platform value, which widened the criterion to the value above. The criterion for fragments is at its a priori value of 2.45 %, because the A-Mab results of the downstream steps did not replace any platform value for fragments (</w:t>
      </w:r>
      <w:hyperlink w:anchor="tbl-worstcase">
        <w:r>
          <w:rPr>
            <w:rStyle w:val="Hyperlink"/>
          </w:rPr>
          <w:t xml:space="preserve">Table 11</w:t>
        </w:r>
      </w:hyperlink>
      <w:r>
        <w:t xml:space="preserve">).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6"/>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6"/>
        </w:numPr>
      </w:pPr>
      <w:r>
        <w:t xml:space="preserve">Where the one-sided 95 % prediction bound of a single batch at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6"/>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7"/>
        </w:numPr>
      </w:pPr>
      <w:r>
        <w:t xml:space="preserve">The bound and the platform value it replaced.</w:t>
      </w:r>
    </w:p>
    <w:p>
      <w:pPr>
        <w:pStyle w:val="Compact"/>
        <w:numPr>
          <w:ilvl w:val="0"/>
          <w:numId w:val="1007"/>
        </w:numPr>
      </w:pPr>
      <w:r>
        <w:t xml:space="preserve">The runs of the anion exchange design behind the bound.</w:t>
      </w:r>
    </w:p>
    <w:p>
      <w:pPr>
        <w:pStyle w:val="Compact"/>
        <w:numPr>
          <w:ilvl w:val="0"/>
          <w:numId w:val="1007"/>
        </w:numPr>
      </w:pPr>
      <w:r>
        <w:t xml:space="preserve">The adequacy results of the anion exchange model.</w:t>
      </w:r>
    </w:p>
    <w:p>
      <w:pPr>
        <w:pStyle w:val="Compact"/>
        <w:numPr>
          <w:ilvl w:val="0"/>
          <w:numId w:val="1007"/>
        </w:numPr>
      </w:pPr>
      <w:r>
        <w:t xml:space="preserve">The reason why the performance of anion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3"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passed the adequacy tests.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3"/>
          <w:p/>
        </w:tc>
      </w:tr>
    </w:tbl>
    <w:bookmarkEnd w:id="54"/>
    <w:bookmarkStart w:id="55"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8"/>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8"/>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5"/>
    <w:bookmarkStart w:id="56"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6"/>
    <w:bookmarkEnd w:id="57"/>
    <w:bookmarkStart w:id="58"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8"/>
    <w:bookmarkStart w:id="60"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59"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59"/>
          <w:p/>
        </w:tc>
      </w:tr>
    </w:tbl>
    <w:bookmarkEnd w:id="60"/>
    <w:bookmarkStart w:id="62"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1"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1"/>
          <w:p/>
        </w:tc>
      </w:tr>
    </w:tbl>
    <w:bookmarkEnd w:id="62"/>
    <w:bookmarkStart w:id="63"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9"/>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09"/>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09"/>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9"/>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09"/>
        </w:numPr>
      </w:pPr>
      <w:r>
        <w:t xml:space="preserve">Fragments by nrCE-SDS rest on the retained pools of the response-surface design.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9"/>
        </w:numPr>
      </w:pPr>
      <w:r>
        <w:t xml:space="preserve">Supply of clarified harvest and resin may limit the number of runs. The designs are executed in full before analysis, and no run is dropped to save material.</w:t>
      </w:r>
    </w:p>
    <w:bookmarkEnd w:id="63"/>
    <w:bookmarkStart w:id="64"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4"/>
    <w:bookmarkStart w:id="66"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5"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5"/>
          <w:p/>
        </w:tc>
      </w:tr>
    </w:tbl>
    <w:bookmarkEnd w:id="66"/>
    <w:bookmarkStart w:id="68"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7"/>
          <w:p/>
        </w:tc>
      </w:tr>
    </w:tbl>
    <w:bookmarkEnd w:id="68"/>
    <w:bookmarkStart w:id="71" w:name="references"/>
    <w:p>
      <w:pPr>
        <w:pStyle w:val="Heading1"/>
      </w:pPr>
      <w:r>
        <w:t xml:space="preserve">References</w:t>
      </w:r>
    </w:p>
    <w:bookmarkStart w:id="70" w:name="refs"/>
    <w:bookmarkStart w:id="69"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2026-10-10T09:39:36Z</dcterms:created>
  <dcterms:modified xsi:type="dcterms:W3CDTF">2026-10-10T09:39:36Z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