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Study</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CO2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sat</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e6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X</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univariate</w:t>
                  </w:r>
                  <w:r>
                    <w:rPr>
                      <w:vertAlign w:val="superscript"/>
                    </w:rPr>
                    <w:t xml:space="preserve">a)</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8"/>
                </w:tcPr>
                <w:p>
                  <w:pPr>
                    <w:pStyle w:val="Compact"/>
                    <w:jc w:val="center"/>
                  </w:pPr>
                  <w:r>
                    <w:rPr>
                      <w:vertAlign w:val="superscript"/>
                    </w:rPr>
                    <w:t xml:space="preserve">a)</w:t>
                  </w:r>
                  <w:r>
                    <w:t xml:space="preserve"> </w:t>
                  </w:r>
                  <w:r>
                    <w:t xml:space="preserve">Studied one factor at a time.</w:t>
                  </w:r>
                </w:p>
              </w:tc>
            </w:tr>
            <w:tr>
              <w:tc>
                <w:tcPr>
                  <w:gridSpan w:val="8"/>
                </w:tcPr>
                <w:p>
                  <w:pPr>
                    <w:pStyle w:val="Compact"/>
                    <w:jc w:val="center"/>
                  </w:pPr>
                  <w:r>
                    <w:rPr>
                      <w:vertAlign w:val="superscript"/>
                    </w:rPr>
                    <w:t xml:space="preserve">b)</w:t>
                  </w:r>
                  <w:r>
                    <w:t xml:space="preserve"> </w:t>
                  </w:r>
                  <w:r>
                    <w:t xml:space="preserve">The normal operating range equals the characterized range.</w:t>
                  </w:r>
                </w:p>
              </w:tc>
            </w:tr>
            <w:tr>
              <w:tc>
                <w:tcPr>
                  <w:gridSpan w:val="8"/>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8"/>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8"/>
                </w:tcPr>
                <w:p>
                  <w:pPr>
                    <w:pStyle w:val="Compact"/>
                    <w:jc w:val="center"/>
                  </w:pPr>
                  <w:r>
                    <w:rPr>
                      <w:vertAlign w:val="superscript"/>
                    </w:rPr>
                    <w:t xml:space="preserve">c3)</w:t>
                  </w:r>
                  <w:r>
                    <w:t xml:space="preserve"> </w:t>
                  </w:r>
                  <w:r>
                    <w:t xml:space="preserve">Moved at Version 2.0 from pH 3.5, the set-point the studies were run around (PCR-006).</w:t>
                  </w:r>
                </w:p>
              </w:tc>
            </w:tr>
            <w:tr>
              <w:tc>
                <w:tcPr>
                  <w:gridSpan w:val="8"/>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8"/>
                </w:tcPr>
                <w:p>
                  <w:pPr>
                    <w:pStyle w:val="Compact"/>
                    <w:jc w:val="center"/>
                  </w:pPr>
                  <w:r>
                    <w:rPr>
                      <w:vertAlign w:val="superscript"/>
                    </w:rPr>
                    <w:t xml:space="preserve">c5)</w:t>
                  </w:r>
                  <w:r>
                    <w:t xml:space="preserve"> </w:t>
                  </w:r>
                  <w:r>
                    <w:t xml:space="preserve">Moved at Version 2.0 from 90 min, the set-point the studies were run around (PCR-006).</w:t>
                  </w:r>
                </w:p>
              </w:tc>
            </w:tr>
            <w:tr>
              <w:tc>
                <w:tcPr>
                  <w:gridSpan w:val="8"/>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dissolved CO2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anion exchange (step yield, plate count, peak asymmetry, host cell protein) and virus filtration (step yield).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The campaign includes 3 hold studies. The clarified harvest and the Protein A eluate (at elution pH) are each held at 2-8 °C and 21 °C, and the neutralized viral inactivation pool at 21 °C and 25 °C, for up to 7 days. The design of the viral inactivation pool study follows A-Mab Table 4.17</w:t>
      </w:r>
      <w:r>
        <w:t xml:space="preserve"> </w:t>
      </w:r>
      <w:r>
        <w:t xml:space="preserve">(CMC Biotech Working Group 2009)</w:t>
      </w:r>
      <w:r>
        <w:t xml:space="preserve">. Each hold study is planned in the PCP-00N of the step that produces the pool.</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screening showed, or RA-001 expected, to affect a CQA with a criterion at the step.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three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5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model adequacy criteria,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18.0–39.6</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Holds are covered by the hold studies, each planned in the PCP-00N of the step that produces the pool and judged against a hold criterion set in that plan.</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17 are in force at their a priori value and verification changed 5.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upper limit for acidic variants in the production bioreactor harvest (from 39.0 % to 39.6 %), the criterion for host cell protein in the Protein A pool (from 16,000 ng/mg to 17,069 ng/mg) and the criterion for host cell protein in the cation exchange pool (from 400 ng/mg to 427 ng/mg). The widening of the criteria for aggregate and acidic variants in the production bioreactor harvest reflects the shorter hold of A-Mab in low-pH viral inactivation, not a more stable product. The A-Mab hold is at most 120 min within its NOR as characterized, and the platform worst cases are increases over a hold of 180 min.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adequacy criteria of</w:t>
      </w:r>
      <w:r>
        <w:t xml:space="preserve"> </w:t>
      </w:r>
      <w:hyperlink w:anchor="sec-acc-model">
        <w:r>
          <w:rPr>
            <w:rStyle w:val="Hyperlink"/>
          </w:rPr>
          <w:t xml:space="preserve">Section 7.2</w:t>
        </w:r>
      </w:hyperlink>
      <w:r>
        <w:t xml:space="preserve">, the bound replaces the platform value.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the acidic variants increase of low-pH viral inactivation and the host cell protein clearance of anion exchange, and these bounds replaced the platform values. The bounds that replaced the platform increases of aggregate and acidic variants in low-pH viral inactivation reflect the shorter hold of A-Mab, not a more stable product. The platform worst cases of the low-pH hold are increases over a hold of 180 min. The A-Mab bounds are the increases within the hold-time NOR as characterized, which ends at 120 min. The criteria calculated with them are still right, because routine manufacture never holds longer than the NOR.</w:t>
      </w:r>
    </w:p>
    <w:p>
      <w:pPr>
        <w:pStyle w:val="BodyText"/>
      </w:pPr>
      <w:r>
        <w:t xml:space="preserve">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and of the hold study,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34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S-HAR-HLD</w:t>
                  </w:r>
                </w:p>
              </w:tc>
              <w:tc>
                <w:tcPr/>
                <w:p>
                  <w:pPr>
                    <w:pStyle w:val="Compact"/>
                    <w:jc w:val="center"/>
                  </w:pPr>
                  <w:r>
                    <w:t xml:space="preserve">Harvest and Clarification</w:t>
                  </w:r>
                </w:p>
              </w:tc>
              <w:tc>
                <w:tcPr/>
                <w:p>
                  <w:pPr>
                    <w:pStyle w:val="Compact"/>
                    <w:jc w:val="center"/>
                  </w:pPr>
                  <w:r>
                    <w:t xml:space="preserve">hold study</w:t>
                  </w:r>
                </w:p>
              </w:tc>
              <w:tc>
                <w:tcPr/>
                <w:p>
                  <w:pPr>
                    <w:pStyle w:val="Compact"/>
                    <w:jc w:val="center"/>
                  </w:pPr>
                  <w:r>
                    <w:t xml:space="preserve">2025-11-24</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S-PA-HLD</w:t>
                  </w:r>
                </w:p>
              </w:tc>
              <w:tc>
                <w:tcPr/>
                <w:p>
                  <w:pPr>
                    <w:pStyle w:val="Compact"/>
                    <w:jc w:val="center"/>
                  </w:pPr>
                  <w:r>
                    <w:t xml:space="preserve">Protein A Chromatography</w:t>
                  </w:r>
                </w:p>
              </w:tc>
              <w:tc>
                <w:tcPr/>
                <w:p>
                  <w:pPr>
                    <w:pStyle w:val="Compact"/>
                    <w:jc w:val="center"/>
                  </w:pPr>
                  <w:r>
                    <w:t xml:space="preserve">hold study</w:t>
                  </w:r>
                </w:p>
              </w:tc>
              <w:tc>
                <w:tcPr/>
                <w:p>
                  <w:pPr>
                    <w:pStyle w:val="Compact"/>
                    <w:jc w:val="center"/>
                  </w:pPr>
                  <w:r>
                    <w:t xml:space="preserve">2026-02-02</w:t>
                  </w:r>
                </w:p>
              </w:tc>
              <w:tc>
                <w:tcPr/>
                <w:p>
                  <w:pPr>
                    <w:pStyle w:val="Compact"/>
                    <w:jc w:val="center"/>
                  </w:pPr>
                  <w:r>
                    <w:t xml:space="preserve">2026-02-16</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S-VI-HLD</w:t>
                  </w:r>
                </w:p>
              </w:tc>
              <w:tc>
                <w:tcPr/>
                <w:p>
                  <w:pPr>
                    <w:pStyle w:val="Compact"/>
                    <w:jc w:val="center"/>
                  </w:pPr>
                  <w:r>
                    <w:t xml:space="preserve">Low-pH Viral Inactivation</w:t>
                  </w:r>
                </w:p>
              </w:tc>
              <w:tc>
                <w:tcPr/>
                <w:p>
                  <w:pPr>
                    <w:pStyle w:val="Compact"/>
                    <w:jc w:val="center"/>
                  </w:pPr>
                  <w:r>
                    <w:t xml:space="preserve">hold study</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2026-10-09T15:26:08Z</dcterms:created>
  <dcterms:modified xsi:type="dcterms:W3CDTF">2026-10-09T15:26:08Z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