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scale-down models qualified by their offsets, execution dates recorded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The plan also covers a hold study of the Protein A eluate at elution pH.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the data for the classification of every parameter of the step, and the conditions under which the eluate may be held.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b)</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16,379</w:t>
                  </w:r>
                </w:p>
              </w:tc>
              <w:tc>
                <w:tcPr/>
                <w:p>
                  <w:pPr>
                    <w:pStyle w:val="Compact"/>
                    <w:jc w:val="center"/>
                  </w:pPr>
                  <w:r>
                    <w:t xml:space="preserve">Carried back, widened</w:t>
                  </w:r>
                  <w:r>
                    <w:rPr>
                      <w:vertAlign w:val="superscript"/>
                    </w:rPr>
                    <w:t xml:space="preserve">d)</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its 95 % confidence bound,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cation exchange showed at the one-sided 95 % confidence bound, from a model that passed the adequacy tests,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16,379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establish how long, and at which temperature, the Protein A eluate may be held at elution pH before viral inactivation.</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 The time the eluate waits at elution pH before inactivation is covered by the hold study (</w:t>
      </w:r>
      <w:hyperlink w:anchor="sec-hold">
        <w:r>
          <w:rPr>
            <w:rStyle w:val="Hyperlink"/>
          </w:rPr>
          <w:t xml:space="preserve">Section 6.5</w:t>
        </w:r>
      </w:hyperlink>
      <w:r>
        <w:t xml:space="preserve">).</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model is qualified under the scale-down model qualification procedure SOP-1001 in study S-PA-SDM, the scale-down model qualification, before the first run of the screening design.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 hold samples of days 0 and 7</w:t>
                  </w:r>
                </w:p>
              </w:tc>
              <w:tc>
                <w:tcPr/>
                <w:p>
                  <w:pPr>
                    <w:pStyle w:val="Compact"/>
                    <w:jc w:val="center"/>
                  </w:pPr>
                  <w:r>
                    <w:t xml:space="preserve">Response of the response-surface design, hold study</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 every hold sample</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 every hold sample</w:t>
                  </w:r>
                </w:p>
              </w:tc>
              <w:tc>
                <w:tcPr/>
                <w:p>
                  <w:pPr>
                    <w:pStyle w:val="Compact"/>
                    <w:jc w:val="center"/>
                  </w:pPr>
                  <w:r>
                    <w:t xml:space="preserve">For information, hold study</w:t>
                  </w:r>
                </w:p>
              </w:tc>
            </w:tr>
            <w:tr>
              <w:tc>
                <w:tcPr/>
                <w:p>
                  <w:pPr>
                    <w:pStyle w:val="Compact"/>
                    <w:jc w:val="center"/>
                  </w:pPr>
                  <w:r>
                    <w:t xml:space="preserve">Acidic variants (%)</w:t>
                  </w:r>
                </w:p>
              </w:tc>
              <w:tc>
                <w:tcPr/>
                <w:p>
                  <w:pPr>
                    <w:pStyle w:val="Compact"/>
                    <w:jc w:val="center"/>
                  </w:pPr>
                  <w:r>
                    <w:t xml:space="preserve">Charge Variants (icIEF)</w:t>
                  </w:r>
                </w:p>
              </w:tc>
              <w:tc>
                <w:tcPr/>
                <w:p>
                  <w:pPr>
                    <w:pStyle w:val="Compact"/>
                    <w:jc w:val="center"/>
                  </w:pPr>
                  <w:r>
                    <w:t xml:space="preserve">Every hold sample</w:t>
                  </w:r>
                </w:p>
              </w:tc>
              <w:tc>
                <w:tcPr/>
                <w:p>
                  <w:pPr>
                    <w:pStyle w:val="Compact"/>
                    <w:jc w:val="center"/>
                  </w:pPr>
                  <w:r>
                    <w:t xml:space="preserve">Hold study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response-surface samples,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The samples of the hold study are taken as described in</w:t>
      </w:r>
      <w:r>
        <w:t xml:space="preserve"> </w:t>
      </w:r>
      <w:hyperlink w:anchor="sec-hold">
        <w:r>
          <w:rPr>
            <w:rStyle w:val="Hyperlink"/>
          </w:rPr>
          <w:t xml:space="preserve">Section 6.5</w:t>
        </w:r>
      </w:hyperlink>
      <w:r>
        <w:t xml:space="preserve">. 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50"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it to 20–38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Start w:id="49" w:name="sec-hold"/>
    <w:p>
      <w:pPr>
        <w:pStyle w:val="Heading2"/>
      </w:pPr>
      <w:r>
        <w:t xml:space="preserve">6.5 Hold study of the Protein A eluate</w:t>
      </w:r>
    </w:p>
    <w:p>
      <w:pPr>
        <w:pStyle w:val="FirstParagraph"/>
      </w:pPr>
      <w:r>
        <w:t xml:space="preserve">The Protein A eluate is held at elution pH before viral inactivation, and the hold can change the product. Over days at low pH, partial unfolding can raise aggregate and hinge hydrolysis can raise fragments. The hold study (study S-PA-HLD) is planned here because PCMP-001 assigns each hold study to the plan of the step that produces the pool.</w:t>
      </w:r>
    </w:p>
    <w:p>
      <w:pPr>
        <w:pStyle w:val="BodyText"/>
      </w:pPr>
      <w:r>
        <w:t xml:space="preserve">A pool produced at set-point is divided and held at 2-8 °C and 21 °C for up to 7 days. Samples are taken on days 0, 1, 3, 5 and 7 at each temperature. Aggregate and fragments are measured by SEC and acidic variants by icIEF at every sample point, as</w:t>
      </w:r>
      <w:r>
        <w:t xml:space="preserve"> </w:t>
      </w:r>
      <w:hyperlink w:anchor="tbl-methods">
        <w:r>
          <w:rPr>
            <w:rStyle w:val="Hyperlink"/>
          </w:rPr>
          <w:t xml:space="preserve">Table 5</w:t>
        </w:r>
      </w:hyperlink>
      <w:r>
        <w:t xml:space="preserve"> </w:t>
      </w:r>
      <w:r>
        <w:t xml:space="preserve">lists. The hold study ran before AMD-001. The samples of days 0 and 7 were retained and tested by nrCE-SDS afterwards, together with the retained pools of the response-surface design in study S-PA-RET. The intermediate sample points have SEC fragment results only, which are for information.</w:t>
      </w:r>
    </w:p>
    <w:p>
      <w:pPr>
        <w:pStyle w:val="BodyText"/>
      </w:pPr>
      <w:r>
        <w:t xml:space="preserve">Protein A capture does not separate aggregate or charge variants (</w:t>
      </w:r>
      <w:hyperlink w:anchor="sec-uo">
        <w:r>
          <w:rPr>
            <w:rStyle w:val="Hyperlink"/>
          </w:rPr>
          <w:t xml:space="preserve">Section 4.1</w:t>
        </w:r>
      </w:hyperlink>
      <w:r>
        <w:t xml:space="preserve">), so the eluate carries the aggregate and acidic variants of the production bioreactor output to the viral inactivation load. The criteria in force for that output, from the table of intermediate acceptance criteria in PCMP-001, are ≤ 6.64 % HMW for aggregate and 18–39.6 % for acidic variants.</w:t>
      </w:r>
    </w:p>
    <w:p>
      <w:pPr>
        <w:pStyle w:val="Compact"/>
        <w:numPr>
          <w:ilvl w:val="0"/>
          <w:numId w:val="1005"/>
        </w:numPr>
      </w:pPr>
      <w:r>
        <w:t xml:space="preserve">From the platform worst cases alone the aggregate criterion was ≤ 9.30 %. Cation exchange clears aggregate less than its platform worst case (one-sided 95 % confidence bound 1.44-fold, against 2.00-fold), which made the criterion stricter. Low-pH viral inactivation adds less aggregate than its platform worst case (one-sided 95 % confidence bound 0.54 percentage points, against 0.70), which made it wider. The net change is to a stricter criterion.</w:t>
      </w:r>
    </w:p>
    <w:p>
      <w:pPr>
        <w:pStyle w:val="Compact"/>
        <w:numPr>
          <w:ilvl w:val="0"/>
          <w:numId w:val="1005"/>
        </w:numPr>
      </w:pPr>
      <w:r>
        <w:t xml:space="preserve">The upper limit for acidic variants was 39.0 % from the platform worst case. It is 39.6 %, because low-pH viral inactivation adds fewer acidic variants than its platform worst case (one-sided 95 % confidence bound 0.40 percentage points, against 1.00).</w:t>
      </w:r>
    </w:p>
    <w:p>
      <w:pPr>
        <w:pStyle w:val="Compact"/>
        <w:numPr>
          <w:ilvl w:val="0"/>
          <w:numId w:val="1005"/>
        </w:numPr>
      </w:pPr>
      <w:r>
        <w:t xml:space="preserve">For fragments the criterion is that of the Protein A pool, ≤ 2.45 % by nrCE-SDS.</w:t>
      </w:r>
    </w:p>
    <w:p>
      <w:pPr>
        <w:pStyle w:val="FirstParagraph"/>
      </w:pPr>
      <w:r>
        <w:t xml:space="preserve">The derivation of these criteria assumes that nothing changes the eluate between capture and viral inactivation. A hold can change it, so the hold criterion limits the increase during the hold. The increase at a sample point is the mean at that time minus the mean on day 0 at the same temperature. A hold time is supported when that increase, added to the highest level expected in the Protein A pool in manufacture, stays within the criterion. For aggregate and acidic variants the highest expected level is the upper 95 % prediction bound of the production bioreactor model within its NOR (PCR-003), because capture does not change them. For fragments it is the upper 95 % prediction bound of the response-surface model of this step within its NOR. Acidic variants rise during a hold, so their increase is judged against the upper limit. The qualification of the scale-down model does not compare aggregate, acidic variants or fragments, so the hold results carry no offset.</w:t>
      </w:r>
    </w:p>
    <w:bookmarkEnd w:id="49"/>
    <w:bookmarkEnd w:id="50"/>
    <w:bookmarkStart w:id="52"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how long the eluate may be held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6"/>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6"/>
        </w:numPr>
      </w:pPr>
      <w:r>
        <w:t xml:space="preserve">Model significance. A response-surface model is used for prediction only if the model F-test is significant at α = 0.05.</w:t>
      </w:r>
    </w:p>
    <w:p>
      <w:pPr>
        <w:pStyle w:val="Compact"/>
        <w:numPr>
          <w:ilvl w:val="0"/>
          <w:numId w:val="1006"/>
        </w:numPr>
      </w:pPr>
      <w:r>
        <w:t xml:space="preserve">Lack of fit. The test of lack of fit against pure error is not significant at α = 0.05.</w:t>
      </w:r>
    </w:p>
    <w:p>
      <w:pPr>
        <w:pStyle w:val="Compact"/>
        <w:numPr>
          <w:ilvl w:val="0"/>
          <w:numId w:val="1006"/>
        </w:numPr>
      </w:pPr>
      <w:r>
        <w:t xml:space="preserve">Predictive power. The predicted R², computed from the prediction error sum of squares (PRESS), falls short of the R² of the same model by no more than 0.20.</w:t>
      </w:r>
    </w:p>
    <w:p>
      <w:pPr>
        <w:pStyle w:val="Compact"/>
        <w:numPr>
          <w:ilvl w:val="0"/>
          <w:numId w:val="1006"/>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6"/>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6"/>
        </w:numPr>
      </w:pPr>
      <w:r>
        <w:t xml:space="preserve">Hold. A hold time is supported at a temperature when, at every sample point up to that time, the increase in aggregate and in acidic variants over the hold, added to the highest level expected in the Protein A pool in manufacture, stays within the criterion (</w:t>
      </w:r>
      <w:hyperlink w:anchor="sec-hold">
        <w:r>
          <w:rPr>
            <w:rStyle w:val="Hyperlink"/>
          </w:rPr>
          <w:t xml:space="preserve">Section 6.5</w:t>
        </w:r>
      </w:hyperlink>
      <w:r>
        <w:t xml:space="preserve">). The same applies to fragments by nrCE-SDS on the days tested by nrCE-SDS. SEC fragment results are not used for this decision. A trend is reported even where the criterion is met.</w:t>
      </w:r>
    </w:p>
    <w:p>
      <w:pPr>
        <w:pStyle w:val="Compact"/>
        <w:numPr>
          <w:ilvl w:val="0"/>
          <w:numId w:val="1006"/>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1"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16,379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model of cation exchange, which passed the adequacy tests, showed at the one-sided 95 % confidence bound that the step clears more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1"/>
          <w:p/>
        </w:tc>
      </w:tr>
    </w:tbl>
    <w:bookmarkEnd w:id="52"/>
    <w:bookmarkStart w:id="58" w:name="sec-par"/>
    <w:p>
      <w:pPr>
        <w:pStyle w:val="Heading1"/>
      </w:pPr>
      <w:r>
        <w:t xml:space="preserve">8. Proven acceptable ranges (planned analysis)</w:t>
      </w:r>
    </w:p>
    <w:bookmarkStart w:id="55"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3" w:name="tbl-iac"/>
          <w:p>
            <w:pPr>
              <w:jc w:val="center"/>
            </w:pPr>
            <w:pPr>
              <w:jc w:val="start"/>
              <w:spacing w:before="200"/>
              <w:pStyle w:val="ImageCaption"/>
            </w:pPr>
            <w:r>
              <w:t xml:space="preserve">Table 10: Intermediate acceptance criteria and their derivation from the drug-substance criteria, Protein A output.</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164</w:t>
                  </w:r>
                </w:p>
              </w:tc>
              <w:tc>
                <w:tcPr/>
                <w:p>
                  <w:pPr>
                    <w:pStyle w:val="Compact"/>
                    <w:jc w:val="center"/>
                  </w:pPr>
                  <w:r>
                    <w:t xml:space="preserve">0.00</w:t>
                  </w:r>
                </w:p>
              </w:tc>
              <w:tc>
                <w:tcPr/>
                <w:p>
                  <w:pPr>
                    <w:pStyle w:val="Compact"/>
                    <w:jc w:val="center"/>
                  </w:pPr>
                  <w:r>
                    <w:t xml:space="preserve">≤ 16,379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95 % confidence bound of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3"/>
          <w:p/>
        </w:tc>
      </w:tr>
    </w:tbl>
    <w:p>
      <w:pPr>
        <w:pStyle w:val="BodyText"/>
      </w:pPr>
      <w:r>
        <w:t xml:space="preserve">For pool host cell protein the drug substance limit of 100 ng/mg is carried back through cation exchange and anion exchange, which together clear host cell protein 163.788-fold in the derivation. That gives 16,379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cation exchange passed the adequacy tests, and it showed at the one-sided 95 % confidence bound that the step clears host cell protein better than its platform worst case. That bound replaced the platform value, which widened the criterion to the value above. The anion exchange model also gave a bound better than its platform worst case for host cell protein, and the cation exchange model did the same for fragments. Each of these two models fails the limit on how far predicted R² may fall short of R², so their bounds were not used and the platform values stand. The criterion for fragments is therefore at its a priori value of 2.45 %.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7"/>
        </w:numPr>
      </w:pPr>
      <w:r>
        <w:t xml:space="preserve">Where a downstream step does worse within its NOR than its platform worst case, the one-sided 95 % confidence bound of its A-Mab worst case, taken on the unfavourable side, replaces the platform value. The criterion of this step then becomes stricter.</w:t>
      </w:r>
    </w:p>
    <w:p>
      <w:pPr>
        <w:pStyle w:val="Compact"/>
        <w:numPr>
          <w:ilvl w:val="0"/>
          <w:numId w:val="1007"/>
        </w:numPr>
      </w:pPr>
      <w:r>
        <w:t xml:space="preserve">Where the one-sided 95 % confidence bound of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7"/>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8"/>
        </w:numPr>
      </w:pPr>
      <w:r>
        <w:t xml:space="preserve">The bound and the platform value it replaced.</w:t>
      </w:r>
    </w:p>
    <w:p>
      <w:pPr>
        <w:pStyle w:val="Compact"/>
        <w:numPr>
          <w:ilvl w:val="0"/>
          <w:numId w:val="1008"/>
        </w:numPr>
      </w:pPr>
      <w:r>
        <w:t xml:space="preserve">The runs of the cation exchange design behind the bound.</w:t>
      </w:r>
    </w:p>
    <w:p>
      <w:pPr>
        <w:pStyle w:val="Compact"/>
        <w:numPr>
          <w:ilvl w:val="0"/>
          <w:numId w:val="1008"/>
        </w:numPr>
      </w:pPr>
      <w:r>
        <w:t xml:space="preserve">The adequacy results of the cation exchange model.</w:t>
      </w:r>
    </w:p>
    <w:p>
      <w:pPr>
        <w:pStyle w:val="Compact"/>
        <w:numPr>
          <w:ilvl w:val="0"/>
          <w:numId w:val="1008"/>
        </w:numPr>
      </w:pPr>
      <w:r>
        <w:t xml:space="preserve">The reason why the performance of cation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4"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 model not adequate</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40.9</w:t>
                  </w:r>
                </w:p>
              </w:tc>
              <w:tc>
                <w:tcPr/>
                <w:p>
                  <w:pPr>
                    <w:pStyle w:val="Compact"/>
                    <w:jc w:val="center"/>
                  </w:pPr>
                  <w:r>
                    <w:t xml:space="preserve">Bound, widened</w:t>
                  </w:r>
                  <w:r>
                    <w:rPr>
                      <w:vertAlign w:val="superscript"/>
                    </w:rPr>
                    <w:t xml:space="preserve">b)</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 model not adequate</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c)</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 model not adequate</w:t>
                  </w:r>
                  <w:r>
                    <w:rPr>
                      <w:vertAlign w:val="superscript"/>
                    </w:rPr>
                    <w:t xml:space="preserve">a)</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c)</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bound was better than the platform value, but the model fails an adequacy test of PCMP-001, so the platform value stands.</w:t>
                  </w:r>
                </w:p>
              </w:tc>
            </w:tr>
            <w:tr>
              <w:tc>
                <w:tcPr>
                  <w:gridSpan w:val="7"/>
                </w:tcPr>
                <w:p>
                  <w:pPr>
                    <w:pStyle w:val="Compact"/>
                    <w:jc w:val="center"/>
                  </w:pPr>
                  <w:r>
                    <w:rPr>
                      <w:vertAlign w:val="superscript"/>
                    </w:rPr>
                    <w:t xml:space="preserve">b)</w:t>
                  </w:r>
                  <w:r>
                    <w:t xml:space="preserve"> </w:t>
                  </w:r>
                  <w:r>
                    <w:t xml:space="preserve">The one-sided 95 % confidence bound of the A-Mab worst case within the NOR was better than the platform value, and the model passed the adequacy tests. The bound replaced the platform value.</w:t>
                  </w:r>
                </w:p>
              </w:tc>
            </w:tr>
            <w:tr>
              <w:tc>
                <w:tcPr>
                  <w:gridSpan w:val="7"/>
                </w:tcPr>
                <w:p>
                  <w:pPr>
                    <w:pStyle w:val="Compact"/>
                    <w:jc w:val="center"/>
                  </w:pPr>
                  <w:r>
                    <w:rPr>
                      <w:vertAlign w:val="superscript"/>
                    </w:rPr>
                    <w:t xml:space="preserve">c)</w:t>
                  </w:r>
                  <w:r>
                    <w:t xml:space="preserve"> </w:t>
                  </w:r>
                  <w:r>
                    <w:t xml:space="preserve">Not a response of the downstream designs, so the platform value cannot be checked in this campaign and stands.</w:t>
                  </w:r>
                </w:p>
              </w:tc>
            </w:tr>
            <w:tr>
              <w:tc>
                <w:tcPr>
                  <w:gridSpan w:val="7"/>
                </w:tcPr>
                <w:p>
                  <w:pPr>
                    <w:pStyle w:val="Compact"/>
                    <w:jc w:val="center"/>
                  </w:pPr>
                  <w:r>
                    <w:t xml:space="preserve">Computed from unrounded values. A criterion recomputed from the rounded values shown can differ in its last digit.</w:t>
                  </w:r>
                </w:p>
              </w:tc>
            </w:tr>
          </w:tbl>
          <w:bookmarkEnd w:id="54"/>
          <w:p/>
        </w:tc>
      </w:tr>
    </w:tbl>
    <w:bookmarkEnd w:id="55"/>
    <w:bookmarkStart w:id="56"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9"/>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9"/>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6"/>
    <w:bookmarkStart w:id="57"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7"/>
    <w:bookmarkEnd w:id="58"/>
    <w:bookmarkStart w:id="59"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9"/>
    <w:bookmarkStart w:id="61"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the hold study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the hold study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hold study began on 2026-02-02, before the response-surface design ended on 2026-02-06.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2"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S-PA-HLD</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10"/>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10"/>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10"/>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10"/>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10"/>
        </w:numPr>
      </w:pPr>
      <w:r>
        <w:t xml:space="preserve">Fragments by nrCE-SDS rest on retained samples, which are the pools of the response-surface design and the day 0 and 7 samples of the hold study.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10"/>
        </w:numPr>
      </w:pPr>
      <w:r>
        <w:t xml:space="preserve">Supply of clarified harvest and resin may limit the number of runs. The designs are executed in full before analysis, and no run is dropped to save material.</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5"/>
    <w:bookmarkStart w:id="67"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6"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6"/>
          <w:p/>
        </w:tc>
      </w:tr>
    </w:tbl>
    <w:bookmarkEnd w:id="67"/>
    <w:bookmarkStart w:id="69"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8"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8"/>
          <w:p/>
        </w:tc>
      </w:tr>
    </w:tbl>
    <w:bookmarkEnd w:id="69"/>
    <w:bookmarkStart w:id="72" w:name="references"/>
    <w:p>
      <w:pPr>
        <w:pStyle w:val="Heading1"/>
      </w:pPr>
      <w:r>
        <w:t xml:space="preserve">References</w:t>
      </w:r>
    </w:p>
    <w:bookmarkStart w:id="71"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2026-10-08T19:50:49Z</dcterms:created>
  <dcterms:modified xsi:type="dcterms:W3CDTF">2026-10-08T19:50:49Z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