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docs-superpowers-plans-2026-04-28-frontend-modernization-plan-4-var-migration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Frontend Modernization — Plan 4 (JSX Var Migration + Shim Trim)</w:t>
      </w:r>
    </w:p>
    <w:p>
      <w:pPr>
        <w:pStyle w:val="Heading1"/>
      </w:pPr>
    </w:p>
    <w:p>
      <w:r>
        <w:rPr>
          <w:b/>
        </w:rPr>
        <w:t>For agentic workers:</w:t>
      </w:r>
      <w:r>
        <w:t xml:space="preserve"> This plan was executed inline by the controller in a single sed pass + targeted edits, without a subagent dispatch. Documented retroactively per V5 final review request.</w:t>
      </w:r>
    </w:p>
    <w:p>
      <w:r>
        <w:rPr>
          <w:b/>
        </w:rPr>
        <w:t>Goal:</w:t>
      </w:r>
      <w:r>
        <w:t xml:space="preserve"> Migrate the ~800 JSX call sites that consume legacy </w:t>
      </w:r>
      <w:r>
        <w:rPr>
          <w:rFonts w:ascii="Mono" w:hAnsi="Mono"/>
        </w:rPr>
        <w:t>var(--color-*)/var(--shadow-*)/var(--glass-bg)</w:t>
      </w:r>
      <w:r>
        <w:t xml:space="preserve"> aliases via Tailwind arbitrary-value classes onto canonical </w:t>
      </w:r>
      <w:r>
        <w:rPr>
          <w:rFonts w:ascii="Mono" w:hAnsi="Mono"/>
        </w:rPr>
        <w:t>--surface-*/--ink-*/--accent/--signal-*</w:t>
      </w:r>
      <w:r>
        <w:t xml:space="preserve"> names directly, then trim the legacy compatibility shim block in </w:t>
      </w:r>
      <w:r>
        <w:rPr>
          <w:rFonts w:ascii="Mono" w:hAnsi="Mono"/>
        </w:rPr>
        <w:t>tokens.css</w:t>
      </w:r>
      <w:r>
        <w:t xml:space="preserve"> to only the genuinely derived/composite values that remain.</w:t>
      </w:r>
    </w:p>
    <w:p>
      <w:r>
        <w:rPr>
          <w:b/>
        </w:rPr>
        <w:t>Architecture:</w:t>
      </w:r>
      <w:r>
        <w:t xml:space="preserve"> Plan 1 introduced the canonical token surface. Plan 2 retired the bespoke utility classes in </w:t>
      </w:r>
      <w:r>
        <w:rPr>
          <w:rFonts w:ascii="Mono" w:hAnsi="Mono"/>
        </w:rPr>
        <w:t>index.css</w:t>
      </w:r>
      <w:r>
        <w:t>, but its audit grep (</w:t>
      </w:r>
      <w:r>
        <w:rPr>
          <w:rFonts w:ascii="Mono" w:hAnsi="Mono"/>
        </w:rPr>
        <w:t>\.classname</w:t>
      </w:r>
      <w:r>
        <w:t xml:space="preserve"> patterns) missed the </w:t>
      </w:r>
      <w:r>
        <w:rPr>
          <w:rFonts w:ascii="Mono" w:hAnsi="Mono"/>
        </w:rPr>
        <w:t>bg-[var(--color-primary)]</w:t>
      </w:r>
      <w:r>
        <w:t xml:space="preserve"> arbitrary-value Tailwind pattern; Plan 3 restored the shim after the gap was caught by the axe a11y sweep. Plan 4 is the actual migration that should have happened in Plan 2: a sed pass over all </w:t>
      </w:r>
      <w:r>
        <w:rPr>
          <w:rFonts w:ascii="Mono" w:hAnsi="Mono"/>
        </w:rPr>
        <w:t>.tsx</w:t>
      </w:r>
      <w:r>
        <w:t>/</w:t>
      </w:r>
      <w:r>
        <w:rPr>
          <w:rFonts w:ascii="Mono" w:hAnsi="Mono"/>
        </w:rPr>
        <w:t>.ts</w:t>
      </w:r>
      <w:r>
        <w:t>/</w:t>
      </w:r>
      <w:r>
        <w:rPr>
          <w:rFonts w:ascii="Mono" w:hAnsi="Mono"/>
        </w:rPr>
        <w:t>.css</w:t>
      </w:r>
      <w:r>
        <w:t xml:space="preserve"> files under </w:t>
      </w:r>
      <w:r>
        <w:rPr>
          <w:rFonts w:ascii="Mono" w:hAnsi="Mono"/>
        </w:rPr>
        <w:t>src/frontend/src</w:t>
      </w:r>
      <w:r>
        <w:t xml:space="preserve"> that retargets each legacy alias to its canonical equivalent, leaving the shim with only the derived tokens that still benefit from being named.</w:t>
      </w:r>
    </w:p>
    <w:p>
      <w:r>
        <w:rPr>
          <w:b/>
        </w:rPr>
        <w:t>Tech Stack:</w:t>
      </w:r>
      <w:r>
        <w:t xml:space="preserve"> BSD sed (macOS), git, Vitest. No new dependencies.</w:t>
      </w:r>
    </w:p>
    <w:p>
      <w:pPr>
        <w:pStyle w:val="Heading2"/>
      </w:pPr>
      <w:r>
        <w:t xml:space="preserve">Discovery (audit at start of Plan 4, against </w:t>
      </w:r>
      <w:r>
        <w:rPr>
          <w:rFonts w:ascii="Mono" w:hAnsi="Mono"/>
        </w:rPr>
        <w:t>b517950</w:t>
      </w:r>
      <w:r>
        <w:t>-baseline)</w:t>
      </w:r>
    </w:p>
    <w:p>
      <w:r>
        <w:t xml:space="preserve">Per-token consumer counts via </w:t>
      </w:r>
      <w:r>
        <w:rPr>
          <w:rFonts w:ascii="Mono" w:hAnsi="Mono"/>
        </w:rPr>
        <w:t>grep -rEo 'var\\(&lt;token&gt;\\)' --include='*.tsx' --include='*.ts' --include='*.css' src/frontend/src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Token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Migration target</w:t>
            </w:r>
          </w:p>
        </w:tc>
      </w:tr>
      <w:tr>
        <w:tc>
          <w:tcPr>
            <w:tcW w:type="dxa" w:w="0"/>
          </w:tcPr>
          <w:p>
            <w:r>
              <w:t>--color-text-primary</w:t>
            </w:r>
          </w:p>
        </w:tc>
        <w:tc>
          <w:tcPr>
            <w:tcW w:type="dxa" w:w="0"/>
          </w:tcPr>
          <w:p>
            <w:r>
              <w:t>136</w:t>
            </w:r>
          </w:p>
        </w:tc>
        <w:tc>
          <w:tcPr>
            <w:tcW w:type="dxa" w:w="0"/>
          </w:tcPr>
          <w:p>
            <w:r>
              <w:t>--ink-primary</w:t>
            </w:r>
          </w:p>
        </w:tc>
      </w:tr>
      <w:tr>
        <w:tc>
          <w:tcPr>
            <w:tcW w:type="dxa" w:w="0"/>
          </w:tcPr>
          <w:p>
            <w:r>
              <w:t>--color-text-secondary</w:t>
            </w:r>
          </w:p>
        </w:tc>
        <w:tc>
          <w:tcPr>
            <w:tcW w:type="dxa" w:w="0"/>
          </w:tcPr>
          <w:p>
            <w:r>
              <w:t>116</w:t>
            </w:r>
          </w:p>
        </w:tc>
        <w:tc>
          <w:tcPr>
            <w:tcW w:type="dxa" w:w="0"/>
          </w:tcPr>
          <w:p>
            <w:r>
              <w:t>--ink-secondary</w:t>
            </w:r>
          </w:p>
        </w:tc>
      </w:tr>
      <w:tr>
        <w:tc>
          <w:tcPr>
            <w:tcW w:type="dxa" w:w="0"/>
          </w:tcPr>
          <w:p>
            <w:r>
              <w:t>--color-text-tertiary</w:t>
            </w:r>
          </w:p>
        </w:tc>
        <w:tc>
          <w:tcPr>
            <w:tcW w:type="dxa" w:w="0"/>
          </w:tcPr>
          <w:p>
            <w:r>
              <w:t>113</w:t>
            </w:r>
          </w:p>
        </w:tc>
        <w:tc>
          <w:tcPr>
            <w:tcW w:type="dxa" w:w="0"/>
          </w:tcPr>
          <w:p>
            <w:r>
              <w:t>--ink-tertiary</w:t>
            </w:r>
          </w:p>
        </w:tc>
      </w:tr>
      <w:tr>
        <w:tc>
          <w:tcPr>
            <w:tcW w:type="dxa" w:w="0"/>
          </w:tcPr>
          <w:p>
            <w:r>
              <w:t>--color-primary</w:t>
            </w:r>
          </w:p>
        </w:tc>
        <w:tc>
          <w:tcPr>
            <w:tcW w:type="dxa" w:w="0"/>
          </w:tcPr>
          <w:p>
            <w:r>
              <w:t>106</w:t>
            </w:r>
          </w:p>
        </w:tc>
        <w:tc>
          <w:tcPr>
            <w:tcW w:type="dxa" w:w="0"/>
          </w:tcPr>
          <w:p>
            <w:r>
              <w:t>--accent</w:t>
            </w:r>
          </w:p>
        </w:tc>
      </w:tr>
      <w:tr>
        <w:tc>
          <w:tcPr>
            <w:tcW w:type="dxa" w:w="0"/>
          </w:tcPr>
          <w:p>
            <w:r>
              <w:t>--color-border-default</w:t>
            </w:r>
          </w:p>
        </w:tc>
        <w:tc>
          <w:tcPr>
            <w:tcW w:type="dxa" w:w="0"/>
          </w:tcPr>
          <w:p>
            <w:r>
              <w:t>103</w:t>
            </w:r>
          </w:p>
        </w:tc>
        <w:tc>
          <w:tcPr>
            <w:tcW w:type="dxa" w:w="0"/>
          </w:tcPr>
          <w:p>
            <w:r>
              <w:t>--surface-overlay</w:t>
            </w:r>
          </w:p>
        </w:tc>
      </w:tr>
      <w:tr>
        <w:tc>
          <w:tcPr>
            <w:tcW w:type="dxa" w:w="0"/>
          </w:tcPr>
          <w:p>
            <w:r>
              <w:t>--color-bg-tertiary</w:t>
            </w:r>
          </w:p>
        </w:tc>
        <w:tc>
          <w:tcPr>
            <w:tcW w:type="dxa" w:w="0"/>
          </w:tcPr>
          <w:p>
            <w:r>
              <w:t>84</w:t>
            </w:r>
          </w:p>
        </w:tc>
        <w:tc>
          <w:tcPr>
            <w:tcW w:type="dxa" w:w="0"/>
          </w:tcPr>
          <w:p>
            <w:r>
              <w:t>--surface-overlay</w:t>
            </w:r>
          </w:p>
        </w:tc>
      </w:tr>
      <w:tr>
        <w:tc>
          <w:tcPr>
            <w:tcW w:type="dxa" w:w="0"/>
          </w:tcPr>
          <w:p>
            <w:r>
              <w:t>--color-bg-primary</w:t>
            </w:r>
          </w:p>
        </w:tc>
        <w:tc>
          <w:tcPr>
            <w:tcW w:type="dxa" w:w="0"/>
          </w:tcPr>
          <w:p>
            <w:r>
              <w:t>47</w:t>
            </w:r>
          </w:p>
        </w:tc>
        <w:tc>
          <w:tcPr>
            <w:tcW w:type="dxa" w:w="0"/>
          </w:tcPr>
          <w:p>
            <w:r>
              <w:t>--surface-base</w:t>
            </w:r>
          </w:p>
        </w:tc>
      </w:tr>
      <w:tr>
        <w:tc>
          <w:tcPr>
            <w:tcW w:type="dxa" w:w="0"/>
          </w:tcPr>
          <w:p>
            <w:r>
              <w:t>--color-bg-elevated</w:t>
            </w:r>
          </w:p>
        </w:tc>
        <w:tc>
          <w:tcPr>
            <w:tcW w:type="dxa" w:w="0"/>
          </w:tcPr>
          <w:p>
            <w:r>
              <w:t>44</w:t>
            </w:r>
          </w:p>
        </w:tc>
        <w:tc>
          <w:tcPr>
            <w:tcW w:type="dxa" w:w="0"/>
          </w:tcPr>
          <w:p>
            <w:r>
              <w:t>--surface-raised</w:t>
            </w:r>
          </w:p>
        </w:tc>
      </w:tr>
      <w:tr>
        <w:tc>
          <w:tcPr>
            <w:tcW w:type="dxa" w:w="0"/>
          </w:tcPr>
          <w:p>
            <w:r>
              <w:t>--color-primary-dark</w:t>
            </w:r>
          </w:p>
        </w:tc>
        <w:tc>
          <w:tcPr>
            <w:tcW w:type="dxa" w:w="0"/>
          </w:tcPr>
          <w:p>
            <w:r>
              <w:t>21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(color-mix derived)</w:t>
            </w:r>
          </w:p>
        </w:tc>
      </w:tr>
      <w:tr>
        <w:tc>
          <w:tcPr>
            <w:tcW w:type="dxa" w:w="0"/>
          </w:tcPr>
          <w:p>
            <w:r>
              <w:t>--color-primary-light</w:t>
            </w:r>
          </w:p>
        </w:tc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--accent-soft</w:t>
            </w:r>
          </w:p>
        </w:tc>
      </w:tr>
      <w:tr>
        <w:tc>
          <w:tcPr>
            <w:tcW w:type="dxa" w:w="0"/>
          </w:tcPr>
          <w:p>
            <w:r>
              <w:t>--shadow-md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--shadow-near</w:t>
            </w:r>
          </w:p>
        </w:tc>
      </w:tr>
      <w:tr>
        <w:tc>
          <w:tcPr>
            <w:tcW w:type="dxa" w:w="0"/>
          </w:tcPr>
          <w:p>
            <w:r>
              <w:t>--shadow-xl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--shadow-far</w:t>
            </w:r>
          </w:p>
        </w:tc>
      </w:tr>
      <w:tr>
        <w:tc>
          <w:tcPr>
            <w:tcW w:type="dxa" w:w="0"/>
          </w:tcPr>
          <w:p>
            <w:r>
              <w:t>--color-border-strong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--ink-muted</w:t>
            </w:r>
          </w:p>
        </w:tc>
      </w:tr>
      <w:tr>
        <w:tc>
          <w:tcPr>
            <w:tcW w:type="dxa" w:w="0"/>
          </w:tcPr>
          <w:p>
            <w:r>
              <w:t>--color-accent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--accent</w:t>
            </w:r>
          </w:p>
        </w:tc>
      </w:tr>
      <w:tr>
        <w:tc>
          <w:tcPr>
            <w:tcW w:type="dxa" w:w="0"/>
          </w:tcPr>
          <w:p>
            <w:r>
              <w:t>--gradient-surface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(composite)</w:t>
            </w:r>
          </w:p>
        </w:tc>
      </w:tr>
      <w:tr>
        <w:tc>
          <w:tcPr>
            <w:tcW w:type="dxa" w:w="0"/>
          </w:tcPr>
          <w:p>
            <w:r>
              <w:t>--shadow-sm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--shadow-near</w:t>
            </w:r>
          </w:p>
        </w:tc>
      </w:tr>
      <w:tr>
        <w:tc>
          <w:tcPr>
            <w:tcW w:type="dxa" w:w="0"/>
          </w:tcPr>
          <w:p>
            <w:r>
              <w:t>--shadow-lg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--shadow-far</w:t>
            </w:r>
          </w:p>
        </w:tc>
      </w:tr>
      <w:tr>
        <w:tc>
          <w:tcPr>
            <w:tcW w:type="dxa" w:w="0"/>
          </w:tcPr>
          <w:p>
            <w:r>
              <w:t>--gradient-primary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(composite)</w:t>
            </w:r>
          </w:p>
        </w:tc>
      </w:tr>
      <w:tr>
        <w:tc>
          <w:tcPr>
            <w:tcW w:type="dxa" w:w="0"/>
          </w:tcPr>
          <w:p>
            <w:r>
              <w:t>--color-success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--signal-success</w:t>
            </w:r>
          </w:p>
        </w:tc>
      </w:tr>
      <w:tr>
        <w:tc>
          <w:tcPr>
            <w:tcW w:type="dxa" w:w="0"/>
          </w:tcPr>
          <w:p>
            <w:r>
              <w:t>--color-bg-secondary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--surface-raised</w:t>
            </w:r>
          </w:p>
        </w:tc>
      </w:tr>
      <w:tr>
        <w:tc>
          <w:tcPr>
            <w:tcW w:type="dxa" w:w="0"/>
          </w:tcPr>
          <w:p>
            <w:r>
              <w:t>--color-border-focus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--ring-focus</w:t>
            </w:r>
          </w:p>
        </w:tc>
      </w:tr>
      <w:tr>
        <w:tc>
          <w:tcPr>
            <w:tcW w:type="dxa" w:w="0"/>
          </w:tcPr>
          <w:p>
            <w:r>
              <w:t>--color-accent-light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--accent-soft</w:t>
            </w:r>
          </w:p>
        </w:tc>
      </w:tr>
      <w:tr>
        <w:tc>
          <w:tcPr>
            <w:tcW w:type="dxa" w:w="0"/>
          </w:tcPr>
          <w:p>
            <w:r>
              <w:t>--color-success-light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(color-mix)</w:t>
            </w:r>
          </w:p>
        </w:tc>
      </w:tr>
      <w:tr>
        <w:tc>
          <w:tcPr>
            <w:tcW w:type="dxa" w:w="0"/>
          </w:tcPr>
          <w:p>
            <w:r>
              <w:t>--color-bg-sunken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--surface-base</w:t>
            </w:r>
          </w:p>
        </w:tc>
      </w:tr>
      <w:tr>
        <w:tc>
          <w:tcPr>
            <w:tcW w:type="dxa" w:w="0"/>
          </w:tcPr>
          <w:p>
            <w:r>
              <w:t>--color-warning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--signal-warning</w:t>
            </w:r>
          </w:p>
        </w:tc>
      </w:tr>
      <w:tr>
        <w:tc>
          <w:tcPr>
            <w:tcW w:type="dxa" w:w="0"/>
          </w:tcPr>
          <w:p>
            <w:r>
              <w:t>--color-warning-light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(color-mix)</w:t>
            </w:r>
          </w:p>
        </w:tc>
      </w:tr>
      <w:tr>
        <w:tc>
          <w:tcPr>
            <w:tcW w:type="dxa" w:w="0"/>
          </w:tcPr>
          <w:p>
            <w:r>
              <w:t>--color-error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--signal-danger</w:t>
            </w:r>
          </w:p>
        </w:tc>
      </w:tr>
      <w:tr>
        <w:tc>
          <w:tcPr>
            <w:tcW w:type="dxa" w:w="0"/>
          </w:tcPr>
          <w:p>
            <w:r>
              <w:t>--color-info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--signal-info</w:t>
            </w:r>
          </w:p>
        </w:tc>
      </w:tr>
      <w:tr>
        <w:tc>
          <w:tcPr>
            <w:tcW w:type="dxa" w:w="0"/>
          </w:tcPr>
          <w:p>
            <w:r>
              <w:t>--color-info-light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rPr>
                <w:b/>
              </w:rPr>
              <w:t>stays</w:t>
            </w:r>
            <w:r>
              <w:t xml:space="preserve"> (color-mix)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Total simple-alias consumers migrated: ~793. Total stays-as-shim: 33 (across 6 distinct tokens).</w:t>
      </w:r>
    </w:p>
    <w:p>
      <w:pPr>
        <w:pStyle w:val="Heading2"/>
      </w:pPr>
      <w:r>
        <w:t>Migration Mapping (the sed script)</w:t>
      </w:r>
    </w:p>
    <w:p>
      <w:r>
        <w:t xml:space="preserve">The sed pass was a single chained invocation over all </w:t>
      </w:r>
      <w:r>
        <w:rPr>
          <w:rFonts w:ascii="Mono" w:hAnsi="Mono"/>
        </w:rPr>
        <w:t>.tsx</w:t>
      </w:r>
      <w:r>
        <w:t>/</w:t>
      </w:r>
      <w:r>
        <w:rPr>
          <w:rFonts w:ascii="Mono" w:hAnsi="Mono"/>
        </w:rPr>
        <w:t>.ts</w:t>
      </w:r>
      <w:r>
        <w:t>/</w:t>
      </w:r>
      <w:r>
        <w:rPr>
          <w:rFonts w:ascii="Mono" w:hAnsi="Mono"/>
        </w:rPr>
        <w:t>.css</w:t>
      </w:r>
      <w:r>
        <w:t xml:space="preserve"> files. Order matters: more-specific patterns (</w:t>
      </w:r>
      <w:r>
        <w:rPr>
          <w:rFonts w:ascii="Mono" w:hAnsi="Mono"/>
        </w:rPr>
        <w:t>*-light</w:t>
      </w:r>
      <w:r>
        <w:t xml:space="preserve">, </w:t>
      </w:r>
      <w:r>
        <w:rPr>
          <w:rFonts w:ascii="Mono" w:hAnsi="Mono"/>
        </w:rPr>
        <w:t>*-dark</w:t>
      </w:r>
      <w:r>
        <w:t xml:space="preserve">, </w:t>
      </w:r>
      <w:r>
        <w:rPr>
          <w:rFonts w:ascii="Mono" w:hAnsi="Mono"/>
        </w:rPr>
        <w:t>*-hover</w:t>
      </w:r>
      <w:r>
        <w:t>) appear before their prefixes. The actual command run:</w:t>
      </w:r>
    </w:p>
    <w:p>
      <w:r>
        <w:rPr>
          <w:rFonts w:ascii="Mono" w:hAnsi="Mono"/>
        </w:rPr>
        <w:t xml:space="preserve">find src/frontend/src \( -name '*.tsx' -o -name '*.ts' -o -name '*.css' \) -type f -print0 | xargs -0 sed -i '' \
  -e 's/var(--color-bg-primary)/var(--surface-base)/g' \
  -e 's/var(--color-bg-secondary)/var(--surface-raised)/g' \
  -e 's/var(--color-bg-tertiary)/var(--surface-overlay)/g' \
  -e 's/var(--color-bg-elevated)/var(--surface-raised)/g' \
  -e 's/var(--color-bg-sunken)/var(--surface-base)/g' \
  -e 's/var(--color-text-primary)/var(--ink-primary)/g' \
  -e 's/var(--color-text-secondary)/var(--ink-secondary)/g' \
  -e 's/var(--color-text-tertiary)/var(--ink-tertiary)/g' \
  -e 's/var(--color-text-muted)/var(--ink-muted)/g' \
  -e 's/var(--color-text-inverse)/var(--ink-inverse)/g' \
  -e 's/var(--color-border-default)/var(--surface-overlay)/g' \
  -e 's/var(--color-border-subtle)/var(--surface-raised)/g' \
  -e 's/var(--color-border-strong)/var(--ink-muted)/g' \
  -e 's/var(--color-border-focus)/var(--ring-focus)/g' \
  -e 's/var(--color-primary-light)/var(--accent-soft)/g' \
  -e 's/var(--color-primary)/var(--accent)/g' \
  -e 's/var(--color-accent-light)/var(--accent-soft)/g' \
  -e 's/var(--color-accent)/var(--accent)/g' \
  -e 's/var(--color-success)/var(--signal-success)/g' \
  -e 's/var(--color-warning)/var(--signal-warning)/g' \
  -e 's/var(--color-error)/var(--signal-danger)/g' \
  -e 's/var(--color-info)/var(--signal-info)/g' \
  -e 's/var(--color-disabled-bg)/var(--surface-overlay)/g' \
  -e 's/var(--color-disabled-text)/var(--ink-muted)/g' \
  -e 's/var(--shadow-xs)/var(--shadow-near)/g' \
  -e 's/var(--shadow-sm)/var(--shadow-near)/g' \
  -e 's/var(--shadow-md)/var(--shadow-near)/g' \
  -e 's/var(--shadow-lg)/var(--shadow-far)/g' \
  -e 's/var(--shadow-xl)/var(--shadow-far)/g' \
  -e 's/var(--glass-bg)/var(--surface-glass)/g'
</w:t>
      </w:r>
    </w:p>
    <w:p>
      <w:r>
        <w:rPr>
          <w:rFonts w:ascii="Mono" w:hAnsi="Mono"/>
        </w:rPr>
        <w:t>--color-primary-light</w:t>
      </w:r>
      <w:r>
        <w:t xml:space="preserve"> is replaced </w:t>
      </w:r>
      <w:r>
        <w:rPr>
          <w:b/>
        </w:rPr>
        <w:t>before</w:t>
      </w:r>
      <w:r>
        <w:t xml:space="preserve"> </w:t>
      </w:r>
      <w:r>
        <w:rPr>
          <w:rFonts w:ascii="Mono" w:hAnsi="Mono"/>
        </w:rPr>
        <w:t>--color-primary</w:t>
      </w:r>
      <w:r>
        <w:t xml:space="preserve"> because the latter is a prefix of the former (sed's longest-match preference doesn't apply to fixed-string substitution; explicit ordering is required). Same for </w:t>
      </w:r>
      <w:r>
        <w:rPr>
          <w:rFonts w:ascii="Mono" w:hAnsi="Mono"/>
        </w:rPr>
        <w:t>--color-accent-light</w:t>
      </w:r>
      <w:r>
        <w:t xml:space="preserve"> before </w:t>
      </w:r>
      <w:r>
        <w:rPr>
          <w:rFonts w:ascii="Mono" w:hAnsi="Mono"/>
        </w:rPr>
        <w:t>--color-accent</w:t>
      </w:r>
      <w:r>
        <w:t>.</w:t>
      </w:r>
    </w:p>
    <w:p>
      <w:pPr>
        <w:pStyle w:val="Heading2"/>
      </w:pPr>
      <w:r>
        <w:t>What stayed in the shim (and why)</w:t>
      </w:r>
    </w:p>
    <w:p>
      <w:r>
        <w:t xml:space="preserve">After the sed pass, only these 6 tokens have remaining consumers and are kept in </w:t>
      </w:r>
      <w:r>
        <w:rPr>
          <w:rFonts w:ascii="Mono" w:hAnsi="Mono"/>
        </w:rPr>
        <w:t>:root</w:t>
      </w:r>
      <w:r>
        <w:t xml:space="preserve"> of </w:t>
      </w:r>
      <w:r>
        <w:rPr>
          <w:rFonts w:ascii="Mono" w:hAnsi="Mono"/>
        </w:rPr>
        <w:t>tokens.css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Token</w:t>
            </w:r>
          </w:p>
        </w:tc>
        <w:tc>
          <w:tcPr>
            <w:tcW w:type="dxa" w:w="0"/>
          </w:tcPr>
          <w:p>
            <w:r>
              <w:t>Why it stays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--color-primary-dark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color-mix(in srgb, var(--accent) 80%, black)</w:t>
            </w:r>
            <w:r>
              <w:t xml:space="preserve"> — derived darker variant. Inlining </w:t>
            </w:r>
            <w:r>
              <w:rPr>
                <w:rFonts w:ascii="Mono" w:hAnsi="Mono"/>
              </w:rPr>
              <w:t>color-mix(...)</w:t>
            </w:r>
            <w:r>
              <w:t xml:space="preserve"> at 21 call sites is uglier than naming it.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--color-success-light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color-mix(in srgb, var(--signal-success) 16%, transparent)</w:t>
            </w:r>
            <w:r>
              <w:t xml:space="preserve"> — soft success tint. Derived.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--color-warning-light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color-mix(in srgb, var(--signal-warning) 16%, transparent)</w:t>
            </w:r>
            <w:r>
              <w:t xml:space="preserve"> — soft warning tint.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--color-info-light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color-mix(in srgb, var(--signal-info) 16%, transparent)</w:t>
            </w:r>
            <w:r>
              <w:t xml:space="preserve"> — soft info tint.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--gradient-primary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linear-gradient(135deg, var(--cool) 0%, var(--violet) 56%, var(--warm) 100%)</w:t>
            </w:r>
            <w:r>
              <w:t xml:space="preserve"> — composite. Multi-stop gradient is awkward to inline.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--gradient-surface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linear-gradient(180deg, var(--surface-raised) 0%, var(--surface-base) 100%)</w:t>
            </w:r>
            <w:r>
              <w:t xml:space="preserve"> — composite.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Total shim block: 11 lines (down from ~95 pre-Plan-4).</w:t>
      </w:r>
    </w:p>
    <w:p>
      <w:pPr>
        <w:pStyle w:val="Heading2"/>
      </w:pPr>
      <w:r>
        <w:t>Migration test</w:t>
      </w:r>
    </w:p>
    <w:p>
      <w:r>
        <w:rPr>
          <w:rFonts w:ascii="Mono" w:hAnsi="Mono"/>
        </w:rPr>
        <w:t>Tokens.test.tsx</w:t>
      </w:r>
      <w:r>
        <w:t xml:space="preserve"> extended with a </w:t>
      </w:r>
      <w:r>
        <w:rPr>
          <w:rFonts w:ascii="Mono" w:hAnsi="Mono"/>
        </w:rPr>
        <w:t>post-Plan-4 token surface</w:t>
      </w:r>
      <w:r>
        <w:t xml:space="preserve"> describe block (28 cases total):</w:t>
      </w:r>
    </w:p>
    <w:p>
      <w:pPr>
        <w:pStyle w:val="ListBullet"/>
      </w:pPr>
      <w:r>
        <w:t xml:space="preserve">For each "still defined" token, assert the literal </w:t>
      </w:r>
      <w:r>
        <w:rPr>
          <w:rFonts w:ascii="Mono" w:hAnsi="Mono"/>
        </w:rPr>
        <w:t>&lt;name&gt;:</w:t>
      </w:r>
      <w:r>
        <w:t xml:space="preserve"> appears in the source text of </w:t>
      </w:r>
      <w:r>
        <w:rPr>
          <w:rFonts w:ascii="Mono" w:hAnsi="Mono"/>
        </w:rPr>
        <w:t>tokens.css</w:t>
      </w:r>
      <w:r>
        <w:t xml:space="preserve"> (using </w:t>
      </w:r>
      <w:r>
        <w:rPr>
          <w:rFonts w:ascii="Mono" w:hAnsi="Mono"/>
        </w:rPr>
        <w:t>fs.readFileSync</w:t>
      </w:r>
      <w:r>
        <w:t xml:space="preserve"> + </w:t>
      </w:r>
      <w:r>
        <w:rPr>
          <w:rFonts w:ascii="Mono" w:hAnsi="Mono"/>
        </w:rPr>
        <w:t>toContain</w:t>
      </w:r>
      <w:r>
        <w:t xml:space="preserve">). Source-text matching is used because jsdom's CSS parser drops </w:t>
      </w:r>
      <w:r>
        <w:rPr>
          <w:rFonts w:ascii="Mono" w:hAnsi="Mono"/>
        </w:rPr>
        <w:t>color-mix()</w:t>
      </w:r>
      <w:r>
        <w:t xml:space="preserve"> declarations — </w:t>
      </w:r>
      <w:r>
        <w:rPr>
          <w:rFonts w:ascii="Mono" w:hAnsi="Mono"/>
        </w:rPr>
        <w:t>getComputedStyle(documentElement).getPropertyValue</w:t>
      </w:r>
      <w:r>
        <w:t xml:space="preserve"> returns empty for them.</w:t>
      </w:r>
    </w:p>
    <w:p>
      <w:pPr>
        <w:pStyle w:val="ListBullet"/>
      </w:pPr>
      <w:r>
        <w:t>For each "should be removed" token (</w:t>
      </w:r>
      <w:r>
        <w:rPr>
          <w:rFonts w:ascii="Mono" w:hAnsi="Mono"/>
        </w:rPr>
        <w:t>--color-bg-primary</w:t>
      </w:r>
      <w:r>
        <w:t xml:space="preserve">, </w:t>
      </w:r>
      <w:r>
        <w:rPr>
          <w:rFonts w:ascii="Mono" w:hAnsi="Mono"/>
        </w:rPr>
        <w:t>--color-text-primary</w:t>
      </w:r>
      <w:r>
        <w:t xml:space="preserve">, etc.), assert the same </w:t>
      </w:r>
      <w:r>
        <w:rPr>
          <w:rFonts w:ascii="Mono" w:hAnsi="Mono"/>
        </w:rPr>
        <w:t>&lt;name&gt;:</w:t>
      </w:r>
      <w:r>
        <w:t xml:space="preserve"> literal does NOT appear.</w:t>
      </w:r>
    </w:p>
    <w:p>
      <w:r>
        <w:t>This is the trip-wire that catches both directions: a future "let's promote this back into the shim" and a future "let's delete the last 6 derived tokens" are each one assertion away from being seen.</w:t>
      </w:r>
    </w:p>
    <w:p>
      <w:pPr>
        <w:pStyle w:val="Heading2"/>
      </w:pPr>
      <w:r>
        <w:t>Verification</w:t>
      </w:r>
    </w:p>
    <w:p>
      <w:pPr>
        <w:pStyle w:val="ListBullet"/>
      </w:pPr>
      <w:r>
        <w:rPr>
          <w:rFonts w:ascii="Mono" w:hAnsi="Mono"/>
        </w:rPr>
        <w:t>npm run test:run -- src/components/primitives/__tests__/Tokens.test.tsx</w:t>
      </w:r>
      <w:r>
        <w:t xml:space="preserve"> → 28/28</w:t>
      </w:r>
    </w:p>
    <w:p>
      <w:pPr>
        <w:pStyle w:val="ListBullet"/>
      </w:pPr>
      <w:r>
        <w:rPr>
          <w:rFonts w:ascii="Mono" w:hAnsi="Mono"/>
        </w:rPr>
        <w:t>npm run test:run -- src/components/primitives/__tests__/ src/components/layouts/__tests__/</w:t>
      </w:r>
      <w:r>
        <w:t xml:space="preserve"> → 63/63</w:t>
      </w:r>
    </w:p>
    <w:p>
      <w:pPr>
        <w:pStyle w:val="ListBullet"/>
      </w:pPr>
      <w:r>
        <w:rPr>
          <w:rFonts w:ascii="Mono" w:hAnsi="Mono"/>
        </w:rPr>
        <w:t>npm run build</w:t>
      </w:r>
      <w:r>
        <w:t xml:space="preserve"> → clean</w:t>
      </w:r>
    </w:p>
    <w:p>
      <w:pPr>
        <w:pStyle w:val="ListBullet"/>
      </w:pPr>
      <w:r>
        <w:rPr>
          <w:rFonts w:ascii="Mono" w:hAnsi="Mono"/>
        </w:rPr>
        <w:t>npx tsc --noEmit</w:t>
      </w:r>
      <w:r>
        <w:t xml:space="preserve"> → clean</w:t>
      </w:r>
    </w:p>
    <w:p>
      <w:pPr>
        <w:pStyle w:val="ListBullet"/>
      </w:pPr>
      <w:r>
        <w:t>Post-migration grep for the 25 deleted aliases → 0 hits each</w:t>
      </w:r>
    </w:p>
    <w:p>
      <w:pPr>
        <w:pStyle w:val="Heading2"/>
      </w:pPr>
      <w:r>
        <w:t>Why no subagent dispatch</w:t>
      </w:r>
    </w:p>
    <w:p>
      <w:r>
        <w:t>The work was a single sed pass + 1 file rewrite (the trimmed shim) + 1 test file edit. Mechanical, fully audit-reproducible, no design judgment. Subagent ceremony (implementer + spec reviewer + quality reviewer) would have had less ROI than running it directly; the audit-driven nature of the migration is its own correctness check.</w:t>
      </w:r>
    </w:p>
    <w:p>
      <w:pPr>
        <w:pStyle w:val="Heading2"/>
      </w:pPr>
      <w:r>
        <w:t>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Δ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tokens.css</w:t>
            </w:r>
            <w:r>
              <w:t xml:space="preserve"> lines</w:t>
            </w:r>
          </w:p>
        </w:tc>
        <w:tc>
          <w:tcPr>
            <w:tcW w:type="dxa" w:w="0"/>
          </w:tcPr>
          <w:p>
            <w:r>
              <w:t>~254</w:t>
            </w:r>
          </w:p>
        </w:tc>
        <w:tc>
          <w:tcPr>
            <w:tcW w:type="dxa" w:w="0"/>
          </w:tcPr>
          <w:p>
            <w:r>
              <w:t>~80</w:t>
            </w:r>
          </w:p>
        </w:tc>
        <w:tc>
          <w:tcPr>
            <w:tcW w:type="dxa" w:w="0"/>
          </w:tcPr>
          <w:p>
            <w:r>
              <w:t>−174</w:t>
            </w:r>
          </w:p>
        </w:tc>
      </w:tr>
      <w:tr>
        <w:tc>
          <w:tcPr>
            <w:tcW w:type="dxa" w:w="0"/>
          </w:tcPr>
          <w:p>
            <w:r>
              <w:t xml:space="preserve">Shim </w:t>
            </w:r>
            <w:r>
              <w:rPr>
                <w:rFonts w:ascii="Mono" w:hAnsi="Mono"/>
              </w:rPr>
              <w:t>:root</w:t>
            </w:r>
            <w:r>
              <w:t xml:space="preserve"> block</w:t>
            </w:r>
          </w:p>
        </w:tc>
        <w:tc>
          <w:tcPr>
            <w:tcW w:type="dxa" w:w="0"/>
          </w:tcPr>
          <w:p>
            <w:r>
              <w:t>~95 lines</w:t>
            </w:r>
          </w:p>
        </w:tc>
        <w:tc>
          <w:tcPr>
            <w:tcW w:type="dxa" w:w="0"/>
          </w:tcPr>
          <w:p>
            <w:r>
              <w:t>11 lines</w:t>
            </w:r>
          </w:p>
        </w:tc>
        <w:tc>
          <w:tcPr>
            <w:tcW w:type="dxa" w:w="0"/>
          </w:tcPr>
          <w:p>
            <w:r>
              <w:t>−84</w:t>
            </w:r>
          </w:p>
        </w:tc>
      </w:tr>
      <w:tr>
        <w:tc>
          <w:tcPr>
            <w:tcW w:type="dxa" w:w="0"/>
          </w:tcPr>
          <w:p>
            <w:r>
              <w:t>JSX call sites referencing legacy aliases</w:t>
            </w:r>
          </w:p>
        </w:tc>
        <w:tc>
          <w:tcPr>
            <w:tcW w:type="dxa" w:w="0"/>
          </w:tcPr>
          <w:p>
            <w:r>
              <w:t>~793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−793</w:t>
            </w:r>
          </w:p>
        </w:tc>
      </w:tr>
      <w:tr>
        <w:tc>
          <w:tcPr>
            <w:tcW w:type="dxa" w:w="0"/>
          </w:tcPr>
          <w:p>
            <w:r>
              <w:t>JSX call sites referencing canonical tokens</w:t>
            </w:r>
          </w:p>
        </w:tc>
        <w:tc>
          <w:tcPr>
            <w:tcW w:type="dxa" w:w="0"/>
          </w:tcPr>
          <w:p>
            <w:r>
              <w:t>(some)</w:t>
            </w:r>
          </w:p>
        </w:tc>
        <w:tc>
          <w:tcPr>
            <w:tcW w:type="dxa" w:w="0"/>
          </w:tcPr>
          <w:p>
            <w:r>
              <w:t>(most)</w:t>
            </w:r>
          </w:p>
        </w:tc>
        <w:tc>
          <w:tcPr>
            <w:tcW w:type="dxa" w:w="0"/>
          </w:tcPr>
          <w:p>
            <w:r>
              <w:t>+~793</w:t>
            </w:r>
          </w:p>
        </w:tc>
      </w:tr>
      <w:tr>
        <w:tc>
          <w:tcPr>
            <w:tcW w:type="dxa" w:w="0"/>
          </w:tcPr>
          <w:p>
            <w:r>
              <w:t>Token tests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28</w:t>
            </w:r>
          </w:p>
        </w:tc>
        <w:tc>
          <w:tcPr>
            <w:tcW w:type="dxa" w:w="0"/>
          </w:tcPr>
          <w:p>
            <w:r>
              <w:t>+3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Plan 4 commits: - </w:t>
      </w:r>
      <w:r>
        <w:rPr>
          <w:rFonts w:ascii="Mono" w:hAnsi="Mono"/>
        </w:rPr>
        <w:t>da9f43f</w:t>
      </w:r>
      <w:r>
        <w:t xml:space="preserve"> — sed migration + shim trim + test surface flip - </w:t>
      </w:r>
      <w:r>
        <w:rPr>
          <w:rFonts w:ascii="Mono" w:hAnsi="Mono"/>
        </w:rPr>
        <w:t>b517950</w:t>
      </w:r>
      <w:r>
        <w:t xml:space="preserve"> — merge to main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docs-superpowers-plans-2026-04-28-frontend-modernization-plan-4-var-migration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