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Documentation-Hub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Documentation Hub</w:t>
      </w:r>
    </w:p>
    <w:p>
      <w:pPr>
        <w:pStyle w:val="Heading1"/>
      </w:pPr>
    </w:p>
    <w:p>
      <w:r>
        <w:t>Navigation, onboarding, and deep-dive references</w:t>
      </w:r>
    </w:p>
    <w:p>
      <w:r>
        <w:t>PSScript Manager Docs</w:t>
      </w:r>
    </w:p>
    <w:p>
      <w:pPr>
        <w:pStyle w:val="Heading1"/>
      </w:pPr>
      <w:r>
        <w:t>PSScript Documentation Hub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Welcome to the documentation hub for PSScript Manager. Use this page to navigate onboarding, deployment, and feature documentation.</w:t>
      </w:r>
    </w:p>
    <w:p>
      <w:pPr>
        <w:pStyle w:val="Heading2"/>
      </w:pPr>
      <w:r>
        <w:t>Quick links</w:t>
      </w:r>
    </w:p>
    <w:p>
      <w:pPr>
        <w:pStyle w:val="ListBullet"/>
      </w:pPr>
      <w:r>
        <w:t xml:space="preserve">Getting started: </w:t>
      </w:r>
      <w:r>
        <w:rPr>
          <w:rFonts w:ascii="Mono" w:hAnsi="Mono"/>
        </w:rPr>
        <w:t>GETTING-STARTED.md</w:t>
      </w:r>
    </w:p>
    <w:p>
      <w:pPr>
        <w:pStyle w:val="ListBullet"/>
      </w:pPr>
      <w:r>
        <w:t xml:space="preserve">Docker setup: </w:t>
      </w:r>
      <w:r>
        <w:rPr>
          <w:rFonts w:ascii="Mono" w:hAnsi="Mono"/>
        </w:rPr>
        <w:t>../DOCKER-QUICKSTART.md</w:t>
      </w:r>
    </w:p>
    <w:p>
      <w:pPr>
        <w:pStyle w:val="ListBullet"/>
      </w:pPr>
      <w:r>
        <w:t xml:space="preserve">Management playbook: </w:t>
      </w:r>
      <w:r>
        <w:rPr>
          <w:rFonts w:ascii="Mono" w:hAnsi="Mono"/>
        </w:rPr>
        <w:t>MANAGEMENT-PLAYBOOK.md</w:t>
      </w:r>
    </w:p>
    <w:p>
      <w:pPr>
        <w:pStyle w:val="ListBullet"/>
      </w:pPr>
      <w:r>
        <w:t xml:space="preserve">Training suite: </w:t>
      </w:r>
      <w:r>
        <w:rPr>
          <w:rFonts w:ascii="Mono" w:hAnsi="Mono"/>
        </w:rPr>
        <w:t>training-suite/README.md</w:t>
      </w:r>
    </w:p>
    <w:p>
      <w:pPr>
        <w:pStyle w:val="ListBullet"/>
      </w:pPr>
      <w:r>
        <w:t xml:space="preserve">Training guide: </w:t>
      </w:r>
      <w:r>
        <w:rPr>
          <w:rFonts w:ascii="Mono" w:hAnsi="Mono"/>
        </w:rPr>
        <w:t>training-suite/TRAINING-GUIDE.md</w:t>
      </w:r>
    </w:p>
    <w:p>
      <w:pPr>
        <w:pStyle w:val="ListBullet"/>
      </w:pPr>
      <w:r>
        <w:t xml:space="preserve">Support: </w:t>
      </w:r>
      <w:r>
        <w:rPr>
          <w:rFonts w:ascii="Mono" w:hAnsi="Mono"/>
        </w:rPr>
        <w:t>SUPPORT.md</w:t>
      </w:r>
    </w:p>
    <w:p>
      <w:pPr>
        <w:pStyle w:val="Heading2"/>
      </w:pPr>
      <w:r>
        <w:t>Platform overview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Documentation map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Area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  <w:tc>
          <w:tcPr>
            <w:tcW w:type="dxa" w:w="0"/>
          </w:tcPr>
          <w:p>
            <w:r>
              <w:t>Link</w:t>
            </w:r>
          </w:p>
        </w:tc>
      </w:tr>
      <w:tr>
        <w:tc>
          <w:tcPr>
            <w:tcW w:type="dxa" w:w="0"/>
          </w:tcPr>
          <w:p>
            <w:r>
              <w:t>Onboarding</w:t>
            </w:r>
          </w:p>
        </w:tc>
        <w:tc>
          <w:tcPr>
            <w:tcW w:type="dxa" w:w="0"/>
          </w:tcPr>
          <w:p>
            <w:r>
              <w:t>Setup, accounts, first run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GETTING-STARTED.md</w:t>
            </w:r>
          </w:p>
        </w:tc>
      </w:tr>
      <w:tr>
        <w:tc>
          <w:tcPr>
            <w:tcW w:type="dxa" w:w="0"/>
          </w:tcPr>
          <w:p>
            <w:r>
              <w:t>Docker</w:t>
            </w:r>
          </w:p>
        </w:tc>
        <w:tc>
          <w:tcPr>
            <w:tcW w:type="dxa" w:w="0"/>
          </w:tcPr>
          <w:p>
            <w:r>
              <w:t>Infrastructure setup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../DOCKER-QUICKSTART.md</w:t>
            </w:r>
          </w:p>
        </w:tc>
      </w:tr>
      <w:tr>
        <w:tc>
          <w:tcPr>
            <w:tcW w:type="dxa" w:w="0"/>
          </w:tcPr>
          <w:p>
            <w:r>
              <w:t>Vector search</w:t>
            </w:r>
          </w:p>
        </w:tc>
        <w:tc>
          <w:tcPr>
            <w:tcW w:type="dxa" w:w="0"/>
          </w:tcPr>
          <w:p>
            <w:r>
              <w:t>pgvector and embeddings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README-VECTOR-SEARCH.md</w:t>
            </w:r>
          </w:p>
        </w:tc>
      </w:tr>
      <w:tr>
        <w:tc>
          <w:tcPr>
            <w:tcW w:type="dxa" w:w="0"/>
          </w:tcPr>
          <w:p>
            <w:r>
              <w:t>Voice API</w:t>
            </w:r>
          </w:p>
        </w:tc>
        <w:tc>
          <w:tcPr>
            <w:tcW w:type="dxa" w:w="0"/>
          </w:tcPr>
          <w:p>
            <w:r>
              <w:t>Voice features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README-VOICE-API.md</w:t>
            </w:r>
          </w:p>
        </w:tc>
      </w:tr>
      <w:tr>
        <w:tc>
          <w:tcPr>
            <w:tcW w:type="dxa" w:w="0"/>
          </w:tcPr>
          <w:p>
            <w:r>
              <w:t>Management</w:t>
            </w:r>
          </w:p>
        </w:tc>
        <w:tc>
          <w:tcPr>
            <w:tcW w:type="dxa" w:w="0"/>
          </w:tcPr>
          <w:p>
            <w:r>
              <w:t>Rollout plan and KPIs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MANAGEMENT-PLAYBOOK.md</w:t>
            </w:r>
          </w:p>
        </w:tc>
      </w:tr>
      <w:tr>
        <w:tc>
          <w:tcPr>
            <w:tcW w:type="dxa" w:w="0"/>
          </w:tcPr>
          <w:p>
            <w:r>
              <w:t>Training</w:t>
            </w:r>
          </w:p>
        </w:tc>
        <w:tc>
          <w:tcPr>
            <w:tcW w:type="dxa" w:w="0"/>
          </w:tcPr>
          <w:p>
            <w:r>
              <w:t>Modules and labs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training-suite/README.md</w:t>
            </w:r>
          </w:p>
        </w:tc>
      </w:tr>
      <w:tr>
        <w:tc>
          <w:tcPr>
            <w:tcW w:type="dxa" w:w="0"/>
          </w:tcPr>
          <w:p>
            <w:r>
              <w:t>Support</w:t>
            </w:r>
          </w:p>
        </w:tc>
        <w:tc>
          <w:tcPr>
            <w:tcW w:type="dxa" w:w="0"/>
          </w:tcPr>
          <w:p>
            <w:r>
              <w:t>Triage and operations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SUPPORT.md</w:t>
            </w:r>
          </w:p>
        </w:tc>
      </w:tr>
      <w:tr>
        <w:tc>
          <w:tcPr>
            <w:tcW w:type="dxa" w:w="0"/>
          </w:tcPr>
          <w:p>
            <w:r>
              <w:t>Reference sources</w:t>
            </w:r>
          </w:p>
        </w:tc>
        <w:tc>
          <w:tcPr>
            <w:tcW w:type="dxa" w:w="0"/>
          </w:tcPr>
          <w:p>
            <w:r>
              <w:t>Style inspirations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REFERENCE-SOURCES.md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Exported formats</w:t>
      </w:r>
    </w:p>
    <w:p>
      <w:pPr>
        <w:pStyle w:val="Heading2"/>
      </w:pPr>
    </w:p>
    <w:p>
      <w:r>
        <w:t xml:space="preserve">Run </w:t>
      </w:r>
      <w:r>
        <w:rPr>
          <w:rFonts w:ascii="Mono" w:hAnsi="Mono"/>
        </w:rPr>
        <w:t>scripts/export-docs.sh --all</w:t>
      </w:r>
      <w:r>
        <w:t xml:space="preserve"> to generate HTML, PDF, and DOCX exports in </w:t>
      </w:r>
      <w:r>
        <w:rPr>
          <w:rFonts w:ascii="Mono" w:hAnsi="Mono"/>
        </w:rPr>
        <w:t>docs/exports/</w:t>
      </w:r>
      <w:r>
        <w:t>.</w:t>
      </w:r>
    </w:p>
    <w:p>
      <w:r>
        <w:t>With the backend running, exports are available at http://localhost:4000/docs/exports/.</w:t>
      </w:r>
    </w:p>
    <w:p>
      <w:pPr>
        <w:pStyle w:val="Heading2"/>
      </w:pPr>
      <w:r>
        <w:t>UI snapshot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Documentation-Hub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