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11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附录 B 源文件清单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附录 B 源文件清单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B.1 客户端关键文件（</w:t>
      </w:r>
      <w:r>
        <w:rPr>
          <w:rFonts w:ascii="Consolas" w:hAnsi="Consolas"/>
          <w:b w:val="0"/>
          <w:i w:val="0"/>
          <w:shd w:val="clear" w:fill="F0F0F0"/>
        </w:rPr>
        <w:t>VCC视频会议/</w:t>
      </w:r>
      <w:r>
        <w:rPr>
          <w:rFonts w:ascii="Microsoft YaHei" w:hAnsi="Microsoft YaHei"/>
          <w:b w:val="0"/>
          <w:i w:val="0"/>
        </w:rPr>
        <w:t>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B.2 服务端关键文件（</w:t>
      </w:r>
      <w:r>
        <w:rPr>
          <w:rFonts w:ascii="Consolas" w:hAnsi="Consolas"/>
          <w:b w:val="0"/>
          <w:i w:val="0"/>
          <w:shd w:val="clear" w:fill="F0F0F0"/>
        </w:rPr>
        <w:t>服务端代码/PlayerHallServer/</w:t>
      </w:r>
      <w:r>
        <w:rPr>
          <w:rFonts w:ascii="Microsoft YaHei" w:hAnsi="Microsoft YaHei"/>
          <w:b w:val="0"/>
          <w:i w:val="0"/>
        </w:rPr>
        <w:t>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B.3 文档来源清单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附录 B 源文件清单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B.1 客户端关键文件（</w:t>
      </w:r>
      <w:r>
        <w:rPr>
          <w:rFonts w:ascii="Consolas" w:hAnsi="Consolas"/>
          <w:b w:val="0"/>
          <w:i w:val="0"/>
          <w:shd w:val="clear" w:fill="F0F0F0"/>
        </w:rPr>
        <w:t>VCC视频会议/</w:t>
      </w:r>
      <w:r>
        <w:rPr>
          <w:rFonts w:ascii="Microsoft YaHei" w:hAnsi="Microsoft YaHei"/>
          <w:b w:val="0"/>
          <w:i w:val="0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ckernel.h/cpp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核心调度单例，协议分发，房间/连接管理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roomdialog.h/cpp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房间 UI，音视频开关，最大化按钮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logindialog.h/cpp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登录/注册 UI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usershow.h/cpp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成员视频窗口（曾崩溃修复点）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AudioApi/audioread.h/cpp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采集 + Opus + VAD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AudioApi/audiowrite.h/cpp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解码 + SDL 播放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VideoApi/videoread.cpp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OpenCV 摄像头采集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VideoApi/screenread.cpp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桌面采集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VideoApi/AVSyncManager.h/cpp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音视频同步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VideoRender/h264encoder.cpp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FFmpeg H264 编码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VideoRender/h264decoder.cpp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解码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VideoRender/yuvglwidget.cpp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OpenGL YUV 渲染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netapi/net/packdef.h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协议结构体定义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netapi/net/TcpClient.cpp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客户端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B.2 服务端关键文件（</w:t>
      </w:r>
      <w:r>
        <w:rPr>
          <w:rFonts w:ascii="Consolas" w:hAnsi="Consolas"/>
          <w:b w:val="0"/>
          <w:i w:val="0"/>
          <w:shd w:val="clear" w:fill="F0F0F0"/>
        </w:rPr>
        <w:t>服务端代码/PlayerHallServer/</w:t>
      </w:r>
      <w:r>
        <w:rPr>
          <w:rFonts w:ascii="Microsoft YaHei" w:hAnsi="Microsoft YaHei"/>
          <w:b w:val="0"/>
          <w:i w:val="0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src/block_epoll_net.cpp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IO 模型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src/Thread_pool.cpp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自研线程池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src/clogic.cpp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业务逻辑（房间/用户/转发）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src/Mysql.cpp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MySQL 封装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src/TCPKernel.cpp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内核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include/packdef.h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协议定义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B.3 文档来源清单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问题修复文档</w:t>
      </w:r>
      <w:r>
        <w:rPr>
          <w:rFonts w:ascii="Microsoft YaHei" w:hAnsi="Microsoft YaHei"/>
          <w:b w:val="0"/>
          <w:i w:val="0"/>
        </w:rPr>
        <w:t>（15 份）：FFmpeg-MinGW32重编译指南、H264视频崩溃修复报告、HD升级服务端修改指南、HD升级验证与参数检查文档、代码bug功能修复、代码优化报告、修复说明、多线程+多TCP连接优化方案、客户端代码修改对比、拓展优化开发文档、服务器端问题分析、服务端代码修改文档、桌面共享重影修复与帧率优化文档、视频功能修复全过程、音视频同步实现方案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项目总结</w:t>
      </w:r>
      <w:r>
        <w:rPr>
          <w:rFonts w:ascii="Microsoft YaHei" w:hAnsi="Microsoft YaHei"/>
          <w:b w:val="0"/>
          <w:i w:val="0"/>
        </w:rPr>
        <w:t>（11 份）：P0安全与基础改进实施计划、VCC视频会议项目与主流视频会议软件对比分析、VCC视频会议项目开发总结、WebRTC集成实施方案、技术难点与开发过程详解、视频功能崩溃修复实施文档、视频帧质量提升方案、音视频技术参数手册、VCC视频会议项目问题总结_双版本回答、项⽬问题总结.docx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