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Phase 1 Environment Build</w:t>
      </w:r>
    </w:p>
    <w:p>
      <w:pPr>
        <w:spacing w:after="40"/>
      </w:pPr>
      <w:r>
        <w:rPr>
          <w:color w:val="444444"/>
          <w:sz w:val="28"/>
          <w:szCs w:val="28"/>
        </w:rPr>
        <w:t xml:space="preserve">Gazebo + PX4 SITL + ROS2, with real physics — Plan &amp; Task Breakdown</w:t>
      </w:r>
    </w:p>
    <w:p>
      <w:pPr>
        <w:spacing w:after="300"/>
      </w:pPr>
      <w:r>
        <w:rPr>
          <w:color w:val="666666"/>
          <w:sz w:val="20"/>
          <w:szCs w:val="20"/>
        </w:rPr>
        <w:t xml:space="preserve">Project Black Dragon  ·  Kamalanathan Jude Ernest Paul  ·  7 October 2026  ·  Draft v1</w:t>
      </w:r>
    </w:p>
    <w:p>
      <w:pPr>
        <w:pStyle w:val="Heading1"/>
        <w:spacing w:after="150" w:before="300"/>
      </w:pPr>
      <w:r>
        <w:t xml:space="preserve">1. Objective</w:t>
      </w:r>
    </w:p>
    <w:p>
      <w:pPr>
        <w:spacing w:after="120"/>
      </w:pPr>
      <w:r>
        <w:t xml:space="preserve">Stand up a working simulation environment — Gazebo Harmonic, PX4 SITL and ROS2, running inside WSL2 with GPU passthrough — in which a quadrotor flies under physics-based dynamics and responds to manual commands sent over ROS2. This is Phase 1 of the Black Dragon roadmap and the foundation every later phase (node graph, RL controller, VLM planner, swarm) builds on.</w:t>
      </w:r>
    </w:p>
    <w:p>
      <w:pPr>
        <w:pStyle w:val="Heading1"/>
        <w:spacing w:after="150" w:before="300"/>
      </w:pPr>
      <w:r>
        <w:t xml:space="preserve">2. Scope &amp; exit criterion</w:t>
      </w:r>
    </w:p>
    <w:p>
      <w:pPr>
        <w:spacing w:after="120"/>
      </w:pPr>
      <w:r>
        <w:t xml:space="preserve">In scope: single-drone simulation stack, manual MAVROS control, physics parameters reviewed against a reference drone. Out of scope: any VLM, RL policy, or swarm logic — those are later phases and are deliberately not touched here.</w:t>
      </w:r>
    </w:p>
    <w:p>
      <w:pPr>
        <w:spacing w:after="120"/>
      </w:pPr>
      <w:r>
        <w:rPr>
          <w:b/>
          <w:bCs/>
        </w:rPr>
        <w:t xml:space="preserve">Exit criterion (unchanged from the overall roadmap): the drone responds to a manual MAVROS command sent over ROS2, inside Gazebo, with PX4 SITL in the loop.</w:t>
      </w:r>
    </w:p>
    <w:p>
      <w:pPr>
        <w:pStyle w:val="Heading1"/>
        <w:spacing w:after="150" w:before="300"/>
      </w:pPr>
      <w:r>
        <w:t xml:space="preserve">3. Target stack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100"/>
      </w:tblGrid>
      <w:tr>
        <w:trPr>
          <w:tblHeader/>
        </w:trPr>
        <w:tc>
          <w:tcPr>
            <w:tcW w:type="dxa" w:w="2600"/>
            <w:shd w:fill="D9E2F3" w:color="auto" w:val="clear"/>
            <w:tcMar>
              <w:top w:type="dxa" w:w="60"/>
              <w:left w:type="dxa" w:w="100"/>
              <w:bottom w:type="dxa" w:w="60"/>
              <w:right w:type="dxa" w:w="100"/>
            </w:tcMar>
          </w:tcPr>
          <w:p>
            <w:pPr>
              <w:jc w:val="left"/>
            </w:pPr>
            <w:r>
              <w:rPr>
                <w:b/>
                <w:bCs/>
              </w:rPr>
              <w:t xml:space="preserve">Component</w:t>
            </w:r>
          </w:p>
        </w:tc>
        <w:tc>
          <w:tcPr>
            <w:tcW w:type="dxa" w:w="2000"/>
            <w:shd w:fill="D9E2F3" w:color="auto" w:val="clear"/>
            <w:tcMar>
              <w:top w:type="dxa" w:w="60"/>
              <w:left w:type="dxa" w:w="100"/>
              <w:bottom w:type="dxa" w:w="60"/>
              <w:right w:type="dxa" w:w="100"/>
            </w:tcMar>
          </w:tcPr>
          <w:p>
            <w:pPr>
              <w:jc w:val="left"/>
            </w:pPr>
            <w:r>
              <w:rPr>
                <w:b/>
                <w:bCs/>
              </w:rPr>
              <w:t xml:space="preserve">Choice</w:t>
            </w:r>
          </w:p>
        </w:tc>
        <w:tc>
          <w:tcPr>
            <w:tcW w:type="dxa" w:w="5100"/>
            <w:shd w:fill="D9E2F3" w:color="auto" w:val="clear"/>
            <w:tcMar>
              <w:top w:type="dxa" w:w="60"/>
              <w:left w:type="dxa" w:w="100"/>
              <w:bottom w:type="dxa" w:w="60"/>
              <w:right w:type="dxa" w:w="100"/>
            </w:tcMar>
          </w:tcPr>
          <w:p>
            <w:pPr>
              <w:jc w:val="left"/>
            </w:pPr>
            <w:r>
              <w:rPr>
                <w:b/>
                <w:bCs/>
              </w:rPr>
              <w:t xml:space="preserve">Notes</w:t>
            </w:r>
          </w:p>
        </w:tc>
      </w:tr>
      <w:tr>
        <w:tc>
          <w:tcPr>
            <w:tcW w:type="dxa" w:w="2600"/>
            <w:tcMar>
              <w:top w:type="dxa" w:w="60"/>
              <w:left w:type="dxa" w:w="100"/>
              <w:bottom w:type="dxa" w:w="60"/>
              <w:right w:type="dxa" w:w="100"/>
            </w:tcMar>
          </w:tcPr>
          <w:p>
            <w:pPr>
              <w:jc w:val="left"/>
            </w:pPr>
            <w:r>
              <w:rPr>
                <w:b w:val="false"/>
                <w:bCs w:val="false"/>
              </w:rPr>
              <w:t xml:space="preserve">Simulator</w:t>
            </w:r>
          </w:p>
        </w:tc>
        <w:tc>
          <w:tcPr>
            <w:tcW w:type="dxa" w:w="2000"/>
            <w:tcMar>
              <w:top w:type="dxa" w:w="60"/>
              <w:left w:type="dxa" w:w="100"/>
              <w:bottom w:type="dxa" w:w="60"/>
              <w:right w:type="dxa" w:w="100"/>
            </w:tcMar>
          </w:tcPr>
          <w:p>
            <w:pPr>
              <w:jc w:val="left"/>
            </w:pPr>
            <w:r>
              <w:rPr>
                <w:b w:val="false"/>
                <w:bCs w:val="false"/>
              </w:rPr>
              <w:t xml:space="preserve">Gazebo Harmonic (gz-sim)</w:t>
            </w:r>
          </w:p>
        </w:tc>
        <w:tc>
          <w:tcPr>
            <w:tcW w:type="dxa" w:w="5100"/>
            <w:tcMar>
              <w:top w:type="dxa" w:w="60"/>
              <w:left w:type="dxa" w:w="100"/>
              <w:bottom w:type="dxa" w:w="60"/>
              <w:right w:type="dxa" w:w="100"/>
            </w:tcMar>
          </w:tcPr>
          <w:p>
            <w:pPr>
              <w:jc w:val="left"/>
            </w:pPr>
            <w:r>
              <w:rPr>
                <w:b w:val="false"/>
                <w:bCs w:val="false"/>
              </w:rPr>
              <w:t xml:space="preserve">GPU-accelerated rendering; confirm WSL2 passthrough before relying on it</w:t>
            </w:r>
          </w:p>
        </w:tc>
      </w:tr>
      <w:tr>
        <w:tc>
          <w:tcPr>
            <w:tcW w:type="dxa" w:w="2600"/>
            <w:tcMar>
              <w:top w:type="dxa" w:w="60"/>
              <w:left w:type="dxa" w:w="100"/>
              <w:bottom w:type="dxa" w:w="60"/>
              <w:right w:type="dxa" w:w="100"/>
            </w:tcMar>
          </w:tcPr>
          <w:p>
            <w:pPr>
              <w:jc w:val="left"/>
            </w:pPr>
            <w:r>
              <w:rPr>
                <w:b w:val="false"/>
                <w:bCs w:val="false"/>
              </w:rPr>
              <w:t xml:space="preserve">Middleware</w:t>
            </w:r>
          </w:p>
        </w:tc>
        <w:tc>
          <w:tcPr>
            <w:tcW w:type="dxa" w:w="2000"/>
            <w:tcMar>
              <w:top w:type="dxa" w:w="60"/>
              <w:left w:type="dxa" w:w="100"/>
              <w:bottom w:type="dxa" w:w="60"/>
              <w:right w:type="dxa" w:w="100"/>
            </w:tcMar>
          </w:tcPr>
          <w:p>
            <w:pPr>
              <w:jc w:val="left"/>
            </w:pPr>
            <w:r>
              <w:rPr>
                <w:b w:val="false"/>
                <w:bCs w:val="false"/>
              </w:rPr>
              <w:t xml:space="preserve">ROS2 — distro TBD (Humble or Jazzy)</w:t>
            </w:r>
          </w:p>
        </w:tc>
        <w:tc>
          <w:tcPr>
            <w:tcW w:type="dxa" w:w="5100"/>
            <w:tcMar>
              <w:top w:type="dxa" w:w="60"/>
              <w:left w:type="dxa" w:w="100"/>
              <w:bottom w:type="dxa" w:w="60"/>
              <w:right w:type="dxa" w:w="100"/>
            </w:tcMar>
          </w:tcPr>
          <w:p>
            <w:pPr>
              <w:jc w:val="left"/>
            </w:pPr>
            <w:r>
              <w:rPr>
                <w:b w:val="false"/>
                <w:bCs w:val="false"/>
              </w:rPr>
              <w:t xml:space="preserve">Open decision below; drives Ubuntu image choice and ros_gz package availability</w:t>
            </w:r>
          </w:p>
        </w:tc>
      </w:tr>
      <w:tr>
        <w:tc>
          <w:tcPr>
            <w:tcW w:type="dxa" w:w="2600"/>
            <w:tcMar>
              <w:top w:type="dxa" w:w="60"/>
              <w:left w:type="dxa" w:w="100"/>
              <w:bottom w:type="dxa" w:w="60"/>
              <w:right w:type="dxa" w:w="100"/>
            </w:tcMar>
          </w:tcPr>
          <w:p>
            <w:pPr>
              <w:jc w:val="left"/>
            </w:pPr>
            <w:r>
              <w:rPr>
                <w:b w:val="false"/>
                <w:bCs w:val="false"/>
              </w:rPr>
              <w:t xml:space="preserve">Flight stack</w:t>
            </w:r>
          </w:p>
        </w:tc>
        <w:tc>
          <w:tcPr>
            <w:tcW w:type="dxa" w:w="2000"/>
            <w:tcMar>
              <w:top w:type="dxa" w:w="60"/>
              <w:left w:type="dxa" w:w="100"/>
              <w:bottom w:type="dxa" w:w="60"/>
              <w:right w:type="dxa" w:w="100"/>
            </w:tcMar>
          </w:tcPr>
          <w:p>
            <w:pPr>
              <w:jc w:val="left"/>
            </w:pPr>
            <w:r>
              <w:rPr>
                <w:b w:val="false"/>
                <w:bCs w:val="false"/>
              </w:rPr>
              <w:t xml:space="preserve">PX4 SITL via MAVROS</w:t>
            </w:r>
          </w:p>
        </w:tc>
        <w:tc>
          <w:tcPr>
            <w:tcW w:type="dxa" w:w="5100"/>
            <w:tcMar>
              <w:top w:type="dxa" w:w="60"/>
              <w:left w:type="dxa" w:w="100"/>
              <w:bottom w:type="dxa" w:w="60"/>
              <w:right w:type="dxa" w:w="100"/>
            </w:tcMar>
          </w:tcPr>
          <w:p>
            <w:pPr>
              <w:jc w:val="left"/>
            </w:pPr>
            <w:r>
              <w:rPr>
                <w:b w:val="false"/>
                <w:bCs w:val="false"/>
              </w:rPr>
              <w:t xml:space="preserve">PX4 now also offers a native uXRCE-DDS ROS2 bridge — flagged as a risk, see §6</w:t>
            </w:r>
          </w:p>
        </w:tc>
      </w:tr>
      <w:tr>
        <w:tc>
          <w:tcPr>
            <w:tcW w:type="dxa" w:w="2600"/>
            <w:tcMar>
              <w:top w:type="dxa" w:w="60"/>
              <w:left w:type="dxa" w:w="100"/>
              <w:bottom w:type="dxa" w:w="60"/>
              <w:right w:type="dxa" w:w="100"/>
            </w:tcMar>
          </w:tcPr>
          <w:p>
            <w:pPr>
              <w:jc w:val="left"/>
            </w:pPr>
            <w:r>
              <w:rPr>
                <w:b w:val="false"/>
                <w:bCs w:val="false"/>
              </w:rPr>
              <w:t xml:space="preserve">Airframe</w:t>
            </w:r>
          </w:p>
        </w:tc>
        <w:tc>
          <w:tcPr>
            <w:tcW w:type="dxa" w:w="2000"/>
            <w:tcMar>
              <w:top w:type="dxa" w:w="60"/>
              <w:left w:type="dxa" w:w="100"/>
              <w:bottom w:type="dxa" w:w="60"/>
              <w:right w:type="dxa" w:w="100"/>
            </w:tcMar>
          </w:tcPr>
          <w:p>
            <w:pPr>
              <w:jc w:val="left"/>
            </w:pPr>
            <w:r>
              <w:rPr>
                <w:b w:val="false"/>
                <w:bCs w:val="false"/>
              </w:rPr>
              <w:t xml:space="preserve">PX4 default x500 quadrotor (SDF)</w:t>
            </w:r>
          </w:p>
        </w:tc>
        <w:tc>
          <w:tcPr>
            <w:tcW w:type="dxa" w:w="5100"/>
            <w:tcMar>
              <w:top w:type="dxa" w:w="60"/>
              <w:left w:type="dxa" w:w="100"/>
              <w:bottom w:type="dxa" w:w="60"/>
              <w:right w:type="dxa" w:w="100"/>
            </w:tcMar>
          </w:tcPr>
          <w:p>
            <w:pPr>
              <w:jc w:val="left"/>
            </w:pPr>
            <w:r>
              <w:rPr>
                <w:b w:val="false"/>
                <w:bCs w:val="false"/>
              </w:rPr>
              <w:t xml:space="preserve">Starting point; physics parameters revisited in WP-F against a reference drone</w:t>
            </w:r>
          </w:p>
        </w:tc>
      </w:tr>
      <w:tr>
        <w:tc>
          <w:tcPr>
            <w:tcW w:type="dxa" w:w="2600"/>
            <w:tcMar>
              <w:top w:type="dxa" w:w="60"/>
              <w:left w:type="dxa" w:w="100"/>
              <w:bottom w:type="dxa" w:w="60"/>
              <w:right w:type="dxa" w:w="100"/>
            </w:tcMar>
          </w:tcPr>
          <w:p>
            <w:pPr>
              <w:jc w:val="left"/>
            </w:pPr>
            <w:r>
              <w:rPr>
                <w:b w:val="false"/>
                <w:bCs w:val="false"/>
              </w:rPr>
              <w:t xml:space="preserve">Host</w:t>
            </w:r>
          </w:p>
        </w:tc>
        <w:tc>
          <w:tcPr>
            <w:tcW w:type="dxa" w:w="2000"/>
            <w:tcMar>
              <w:top w:type="dxa" w:w="60"/>
              <w:left w:type="dxa" w:w="100"/>
              <w:bottom w:type="dxa" w:w="60"/>
              <w:right w:type="dxa" w:w="100"/>
            </w:tcMar>
          </w:tcPr>
          <w:p>
            <w:pPr>
              <w:jc w:val="left"/>
            </w:pPr>
            <w:r>
              <w:rPr>
                <w:b w:val="false"/>
                <w:bCs w:val="false"/>
              </w:rPr>
              <w:t xml:space="preserve">WSL2 on Windows, GPU passthrough</w:t>
            </w:r>
          </w:p>
        </w:tc>
        <w:tc>
          <w:tcPr>
            <w:tcW w:type="dxa" w:w="5100"/>
            <w:tcMar>
              <w:top w:type="dxa" w:w="60"/>
              <w:left w:type="dxa" w:w="100"/>
              <w:bottom w:type="dxa" w:w="60"/>
              <w:right w:type="dxa" w:w="100"/>
            </w:tcMar>
          </w:tcPr>
          <w:p>
            <w:pPr>
              <w:jc w:val="left"/>
            </w:pPr>
            <w:r>
              <w:rPr>
                <w:b w:val="false"/>
                <w:bCs w:val="false"/>
              </w:rPr>
              <w:t xml:space="preserve">Single biggest unknown for this phase — validate first, in WP-A</w:t>
            </w:r>
          </w:p>
        </w:tc>
      </w:tr>
      <w:tr>
        <w:tc>
          <w:tcPr>
            <w:tcW w:type="dxa" w:w="2600"/>
            <w:tcMar>
              <w:top w:type="dxa" w:w="60"/>
              <w:left w:type="dxa" w:w="100"/>
              <w:bottom w:type="dxa" w:w="60"/>
              <w:right w:type="dxa" w:w="100"/>
            </w:tcMar>
          </w:tcPr>
          <w:p>
            <w:pPr>
              <w:jc w:val="left"/>
            </w:pPr>
            <w:r>
              <w:rPr>
                <w:b w:val="false"/>
                <w:bCs w:val="false"/>
              </w:rPr>
              <w:t xml:space="preserve">GPU</w:t>
            </w:r>
          </w:p>
        </w:tc>
        <w:tc>
          <w:tcPr>
            <w:tcW w:type="dxa" w:w="2000"/>
            <w:tcMar>
              <w:top w:type="dxa" w:w="60"/>
              <w:left w:type="dxa" w:w="100"/>
              <w:bottom w:type="dxa" w:w="60"/>
              <w:right w:type="dxa" w:w="100"/>
            </w:tcMar>
          </w:tcPr>
          <w:p>
            <w:pPr>
              <w:jc w:val="left"/>
            </w:pPr>
            <w:r>
              <w:rPr>
                <w:b w:val="false"/>
                <w:bCs w:val="false"/>
              </w:rPr>
              <w:t xml:space="preserve">NVIDIA GTX 1650 Ti, 4 GB VRAM</w:t>
            </w:r>
          </w:p>
        </w:tc>
        <w:tc>
          <w:tcPr>
            <w:tcW w:type="dxa" w:w="5100"/>
            <w:tcMar>
              <w:top w:type="dxa" w:w="60"/>
              <w:left w:type="dxa" w:w="100"/>
              <w:bottom w:type="dxa" w:w="60"/>
              <w:right w:type="dxa" w:w="100"/>
            </w:tcMar>
          </w:tcPr>
          <w:p>
            <w:pPr>
              <w:jc w:val="left"/>
            </w:pPr>
            <w:r>
              <w:rPr>
                <w:b w:val="false"/>
                <w:bCs w:val="false"/>
              </w:rPr>
              <w:t xml:space="preserve">Benchmark actual Gazebo VRAM draw now; it determines headroom for RL training in Phase 4</w:t>
            </w:r>
          </w:p>
        </w:tc>
      </w:tr>
    </w:tbl>
    <w:p>
      <w:pPr>
        <w:spacing w:after="200"/>
      </w:pPr>
    </w:p>
    <w:p>
      <w:pPr>
        <w:pStyle w:val="Heading1"/>
        <w:spacing w:after="150" w:before="300"/>
      </w:pPr>
      <w:r>
        <w:t xml:space="preserve">4. GPU budget policy</w:t>
      </w:r>
    </w:p>
    <w:p>
      <w:pPr>
        <w:spacing w:after="120"/>
      </w:pPr>
      <w:r>
        <w:t xml:space="preserve">The 4GB card is shared across three consumers over the project's lifetime — Gazebo rendering, RL training, and VLM inference — and that sharing starts being relevant in this phase, not later. Treat the following as hard rules, not defaults to revisit per-task:</w:t>
      </w:r>
    </w:p>
    <w:p>
      <w:pPr>
        <w:pStyle w:val="ListParagraph"/>
        <w:numPr>
          <w:ilvl w:val="0"/>
          <w:numId w:val="2"/>
        </w:numPr>
        <w:spacing w:after="60"/>
      </w:pPr>
      <w:r>
        <w:t xml:space="preserve">Never run Gazebo rendering and RL training on the GPU at the same time. Training consumes LiDAR and pose only, never pixels, so the renderer brings no benefit during training — run the simulator server-only (gz sim -s -r your_world.sdf). Reserve the GUI for dev/debug and demo recording.</w:t>
      </w:r>
    </w:p>
    <w:p>
      <w:pPr>
        <w:pStyle w:val="ListParagraph"/>
        <w:numPr>
          <w:ilvl w:val="0"/>
          <w:numId w:val="2"/>
        </w:numPr>
        <w:spacing w:after="60"/>
      </w:pPr>
      <w:r>
        <w:t xml:space="preserve">Strictly sequence the three GPU consumers: Gazebo (dev/debug), RL training, VLM inference. Train with Gazebo headless, fully exit that process, then load the VLM for inference-time evaluation. Treat this as a hard rule, not a preference — a shared 4GB card has zero tolerance for "keep both loaded, it'll probably be fine."</w:t>
      </w:r>
    </w:p>
    <w:p>
      <w:pPr>
        <w:pStyle w:val="ListParagraph"/>
        <w:numPr>
          <w:ilvl w:val="0"/>
          <w:numId w:val="2"/>
        </w:numPr>
        <w:spacing w:after="60"/>
      </w:pPr>
      <w:r>
        <w:t xml:space="preserve">Quantize the VLM aggressively from the start. 4-bit quantization (bitsandbytes, or a GGUF build via llama.cpp) gets a 2B-class VLM to roughly 1.5–2GB resident — the difference between fitting with headroom and not fitting at all. Don't start from fp16 and discover it doesn't fit; start quantized.</w:t>
      </w:r>
    </w:p>
    <w:p>
      <w:pPr>
        <w:pStyle w:val="ListParagraph"/>
        <w:numPr>
          <w:ilvl w:val="0"/>
          <w:numId w:val="2"/>
        </w:numPr>
        <w:spacing w:after="60"/>
      </w:pPr>
      <w:r>
        <w:t xml:space="preserve">If rendering must stay on during training (e.g. a future camera-based reward signal), cut cost before accepting the hit: disable shadows, reduce camera sensor resolution, simplify world geometry, lower the physics/render rate. This is a fallback, not a first move — headless is strictly better when available, and the current architecture (RL controller is LiDAR/pose-only) shouldn't need this path at all.</w:t>
      </w:r>
    </w:p>
    <w:p>
      <w:pPr>
        <w:pStyle w:val="ListParagraph"/>
        <w:numPr>
          <w:ilvl w:val="0"/>
          <w:numId w:val="2"/>
        </w:numPr>
        <w:spacing w:after="60"/>
      </w:pPr>
      <w:r>
        <w:t xml:space="preserve">If headless Gazebo plus the training process is still tight, move training off the 1650 Ti entirely. Rent a cloud GPU (RunPod, Vast.ai, Lambda Labs — an RTX 3090/4090 or A10, cheap by the hour, 24GB+) for the actual training runs and pull trained weights back down to run locally. The 1650 Ti stays for development, debugging, and iteration speed, not long training jobs. This also removes the VRAM ceiling for every phase after this one, not just Phase 1–4.</w:t>
      </w:r>
    </w:p>
    <w:p>
      <w:pPr>
        <w:pStyle w:val="ListParagraph"/>
        <w:numPr>
          <w:ilvl w:val="0"/>
          <w:numId w:val="2"/>
        </w:numPr>
        <w:spacing w:after="60"/>
      </w:pPr>
      <w:r>
        <w:t xml:space="preserve">Keep the policy network itself small. A goal-conditioned PPO/SAC policy over LiDAR doesn't need much capacity — a small MLP or shallow CNN is plenty. A tiny network leaves more headroom for batch size and replay buffer, which matters more for training stability on a constrained card than model capacity does.</w:t>
      </w:r>
    </w:p>
    <w:p>
      <w:pPr>
        <w:spacing w:after="120"/>
      </w:pPr>
      <w:r>
        <w:t xml:space="preserve">Do rules 1 and 3 unconditionally — they cost nothing and you'd want them regardless. Then run A5's headless benchmark: if the footprint is small (likely), rules 4–5 stay dormant through Phase 1–4. Budget for rule 5 (cloud GPU) by the time Phase 5 attaches the VLM for end-to-end evaluation, since that's where all three consumers get closest to colliding.</w:t>
      </w:r>
    </w:p>
    <w:p>
      <w:pPr>
        <w:pStyle w:val="Heading1"/>
        <w:spacing w:after="150" w:before="300"/>
      </w:pPr>
      <w:r>
        <w:t xml:space="preserve">5. Task breakdown</w:t>
      </w:r>
    </w:p>
    <w:p>
      <w:pPr>
        <w:spacing w:after="120"/>
      </w:pPr>
      <w:r>
        <w:t xml:space="preserve">Seven work packages, roughly sequential. WP-A and WP-B can run in parallel; everything else depends on both.</w:t>
      </w:r>
    </w:p>
    <w:p>
      <w:pPr>
        <w:pStyle w:val="Heading2"/>
        <w:spacing w:after="120" w:before="240"/>
      </w:pPr>
      <w:r>
        <w:t xml:space="preserve">WP-A. Host environment (WSL2 + GPU)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00"/>
        <w:gridCol w:w="4000"/>
      </w:tblGrid>
      <w:tr>
        <w:trPr>
          <w:tblHeader/>
        </w:trPr>
        <w:tc>
          <w:tcPr>
            <w:tcW w:type="dxa" w:w="900"/>
            <w:shd w:fill="D9E2F3" w:color="auto" w:val="clear"/>
            <w:tcMar>
              <w:top w:type="dxa" w:w="60"/>
              <w:left w:type="dxa" w:w="100"/>
              <w:bottom w:type="dxa" w:w="60"/>
              <w:right w:type="dxa" w:w="100"/>
            </w:tcMar>
          </w:tcPr>
          <w:p>
            <w:pPr>
              <w:jc w:val="left"/>
            </w:pPr>
            <w:r>
              <w:rPr>
                <w:b/>
                <w:bCs/>
              </w:rPr>
              <w:t xml:space="preserve">ID</w:t>
            </w:r>
          </w:p>
        </w:tc>
        <w:tc>
          <w:tcPr>
            <w:tcW w:type="dxa" w:w="3300"/>
            <w:shd w:fill="D9E2F3" w:color="auto" w:val="clear"/>
            <w:tcMar>
              <w:top w:type="dxa" w:w="60"/>
              <w:left w:type="dxa" w:w="100"/>
              <w:bottom w:type="dxa" w:w="60"/>
              <w:right w:type="dxa" w:w="100"/>
            </w:tcMar>
          </w:tcPr>
          <w:p>
            <w:pPr>
              <w:jc w:val="left"/>
            </w:pPr>
            <w:r>
              <w:rPr>
                <w:b/>
                <w:bCs/>
              </w:rPr>
              <w:t xml:space="preserve">Task</w:t>
            </w:r>
          </w:p>
        </w:tc>
        <w:tc>
          <w:tcPr>
            <w:tcW w:type="dxa" w:w="1500"/>
            <w:shd w:fill="D9E2F3" w:color="auto" w:val="clear"/>
            <w:tcMar>
              <w:top w:type="dxa" w:w="60"/>
              <w:left w:type="dxa" w:w="100"/>
              <w:bottom w:type="dxa" w:w="60"/>
              <w:right w:type="dxa" w:w="100"/>
            </w:tcMar>
          </w:tcPr>
          <w:p>
            <w:pPr>
              <w:jc w:val="left"/>
            </w:pPr>
            <w:r>
              <w:rPr>
                <w:b/>
                <w:bCs/>
              </w:rPr>
              <w:t xml:space="preserve">Depends on</w:t>
            </w:r>
          </w:p>
        </w:tc>
        <w:tc>
          <w:tcPr>
            <w:tcW w:type="dxa" w:w="4000"/>
            <w:shd w:fill="D9E2F3" w:color="auto" w:val="clear"/>
            <w:tcMar>
              <w:top w:type="dxa" w:w="60"/>
              <w:left w:type="dxa" w:w="100"/>
              <w:bottom w:type="dxa" w:w="60"/>
              <w:right w:type="dxa" w:w="100"/>
            </w:tcMar>
          </w:tcPr>
          <w:p>
            <w:pPr>
              <w:jc w:val="left"/>
            </w:pPr>
            <w:r>
              <w:rPr>
                <w:b/>
                <w:bCs/>
              </w:rPr>
              <w:t xml:space="preserve">Acceptance criteria</w:t>
            </w:r>
          </w:p>
        </w:tc>
      </w:tr>
      <w:tr>
        <w:tc>
          <w:tcPr>
            <w:tcW w:type="dxa" w:w="900"/>
            <w:tcMar>
              <w:top w:type="dxa" w:w="60"/>
              <w:left w:type="dxa" w:w="100"/>
              <w:bottom w:type="dxa" w:w="60"/>
              <w:right w:type="dxa" w:w="100"/>
            </w:tcMar>
          </w:tcPr>
          <w:p>
            <w:pPr>
              <w:jc w:val="left"/>
            </w:pPr>
            <w:r>
              <w:rPr>
                <w:b w:val="false"/>
                <w:bCs w:val="false"/>
              </w:rPr>
              <w:t xml:space="preserve">A1</w:t>
            </w:r>
          </w:p>
        </w:tc>
        <w:tc>
          <w:tcPr>
            <w:tcW w:type="dxa" w:w="3300"/>
            <w:tcMar>
              <w:top w:type="dxa" w:w="60"/>
              <w:left w:type="dxa" w:w="100"/>
              <w:bottom w:type="dxa" w:w="60"/>
              <w:right w:type="dxa" w:w="100"/>
            </w:tcMar>
          </w:tcPr>
          <w:p>
            <w:pPr>
              <w:jc w:val="left"/>
            </w:pPr>
            <w:r>
              <w:rPr>
                <w:b w:val="false"/>
                <w:bCs w:val="false"/>
              </w:rPr>
              <w:t xml:space="preserve">Confirm WSL2 kernel version and install NVIDIA driver with WSL CUDA/GPU support on the Windows host</w:t>
            </w:r>
          </w:p>
        </w:tc>
        <w:tc>
          <w:tcPr>
            <w:tcW w:type="dxa" w:w="1500"/>
            <w:tcMar>
              <w:top w:type="dxa" w:w="60"/>
              <w:left w:type="dxa" w:w="100"/>
              <w:bottom w:type="dxa" w:w="60"/>
              <w:right w:type="dxa" w:w="100"/>
            </w:tcMar>
          </w:tcPr>
          <w:p>
            <w:pPr>
              <w:jc w:val="left"/>
            </w:pPr>
            <w:r>
              <w:rPr>
                <w:b w:val="false"/>
                <w:bCs w:val="false"/>
              </w:rPr>
              <w:t xml:space="preserve">—</w:t>
            </w:r>
          </w:p>
        </w:tc>
        <w:tc>
          <w:tcPr>
            <w:tcW w:type="dxa" w:w="4000"/>
            <w:tcMar>
              <w:top w:type="dxa" w:w="60"/>
              <w:left w:type="dxa" w:w="100"/>
              <w:bottom w:type="dxa" w:w="60"/>
              <w:right w:type="dxa" w:w="100"/>
            </w:tcMar>
          </w:tcPr>
          <w:p>
            <w:pPr>
              <w:jc w:val="left"/>
            </w:pPr>
            <w:r>
              <w:rPr>
                <w:b w:val="false"/>
                <w:bCs w:val="false"/>
              </w:rPr>
              <w:t xml:space="preserve">nvidia-smi runs inside WSL2 and reports the GTX 1650 Ti</w:t>
            </w:r>
          </w:p>
        </w:tc>
      </w:tr>
      <w:tr>
        <w:tc>
          <w:tcPr>
            <w:tcW w:type="dxa" w:w="900"/>
            <w:tcMar>
              <w:top w:type="dxa" w:w="60"/>
              <w:left w:type="dxa" w:w="100"/>
              <w:bottom w:type="dxa" w:w="60"/>
              <w:right w:type="dxa" w:w="100"/>
            </w:tcMar>
          </w:tcPr>
          <w:p>
            <w:pPr>
              <w:jc w:val="left"/>
            </w:pPr>
            <w:r>
              <w:rPr>
                <w:b w:val="false"/>
                <w:bCs w:val="false"/>
              </w:rPr>
              <w:t xml:space="preserve">A2</w:t>
            </w:r>
          </w:p>
        </w:tc>
        <w:tc>
          <w:tcPr>
            <w:tcW w:type="dxa" w:w="3300"/>
            <w:tcMar>
              <w:top w:type="dxa" w:w="60"/>
              <w:left w:type="dxa" w:w="100"/>
              <w:bottom w:type="dxa" w:w="60"/>
              <w:right w:type="dxa" w:w="100"/>
            </w:tcMar>
          </w:tcPr>
          <w:p>
            <w:pPr>
              <w:jc w:val="left"/>
            </w:pPr>
            <w:r>
              <w:rPr>
                <w:b w:val="false"/>
                <w:bCs w:val="false"/>
              </w:rPr>
              <w:t xml:space="preserve">Install the WSL2 Ubuntu image matching the chosen ROS2 distro (22.04 for Humble, 24.04 for Jazzy)</w:t>
            </w:r>
          </w:p>
        </w:tc>
        <w:tc>
          <w:tcPr>
            <w:tcW w:type="dxa" w:w="1500"/>
            <w:tcMar>
              <w:top w:type="dxa" w:w="60"/>
              <w:left w:type="dxa" w:w="100"/>
              <w:bottom w:type="dxa" w:w="60"/>
              <w:right w:type="dxa" w:w="100"/>
            </w:tcMar>
          </w:tcPr>
          <w:p>
            <w:pPr>
              <w:jc w:val="left"/>
            </w:pPr>
            <w:r>
              <w:rPr>
                <w:b w:val="false"/>
                <w:bCs w:val="false"/>
              </w:rPr>
              <w:t xml:space="preserve">A1; ROS2 distro decision</w:t>
            </w:r>
          </w:p>
        </w:tc>
        <w:tc>
          <w:tcPr>
            <w:tcW w:type="dxa" w:w="4000"/>
            <w:tcMar>
              <w:top w:type="dxa" w:w="60"/>
              <w:left w:type="dxa" w:w="100"/>
              <w:bottom w:type="dxa" w:w="60"/>
              <w:right w:type="dxa" w:w="100"/>
            </w:tcMar>
          </w:tcPr>
          <w:p>
            <w:pPr>
              <w:jc w:val="left"/>
            </w:pPr>
            <w:r>
              <w:rPr>
                <w:b w:val="false"/>
                <w:bCs w:val="false"/>
              </w:rPr>
              <w:t xml:space="preserve">Ubuntu boots in WSL2, apt update succeeds</w:t>
            </w:r>
          </w:p>
        </w:tc>
      </w:tr>
      <w:tr>
        <w:tc>
          <w:tcPr>
            <w:tcW w:type="dxa" w:w="900"/>
            <w:tcMar>
              <w:top w:type="dxa" w:w="60"/>
              <w:left w:type="dxa" w:w="100"/>
              <w:bottom w:type="dxa" w:w="60"/>
              <w:right w:type="dxa" w:w="100"/>
            </w:tcMar>
          </w:tcPr>
          <w:p>
            <w:pPr>
              <w:jc w:val="left"/>
            </w:pPr>
            <w:r>
              <w:rPr>
                <w:b w:val="false"/>
                <w:bCs w:val="false"/>
              </w:rPr>
              <w:t xml:space="preserve">A3</w:t>
            </w:r>
          </w:p>
        </w:tc>
        <w:tc>
          <w:tcPr>
            <w:tcW w:type="dxa" w:w="3300"/>
            <w:tcMar>
              <w:top w:type="dxa" w:w="60"/>
              <w:left w:type="dxa" w:w="100"/>
              <w:bottom w:type="dxa" w:w="60"/>
              <w:right w:type="dxa" w:w="100"/>
            </w:tcMar>
          </w:tcPr>
          <w:p>
            <w:pPr>
              <w:jc w:val="left"/>
            </w:pPr>
            <w:r>
              <w:rPr>
                <w:b w:val="false"/>
                <w:bCs w:val="false"/>
              </w:rPr>
              <w:t xml:space="preserve">Verify GPU passthrough for OpenGL/Vulkan (glxinfo, vulkaninfo) from inside WSL2</w:t>
            </w:r>
          </w:p>
        </w:tc>
        <w:tc>
          <w:tcPr>
            <w:tcW w:type="dxa" w:w="1500"/>
            <w:tcMar>
              <w:top w:type="dxa" w:w="60"/>
              <w:left w:type="dxa" w:w="100"/>
              <w:bottom w:type="dxa" w:w="60"/>
              <w:right w:type="dxa" w:w="100"/>
            </w:tcMar>
          </w:tcPr>
          <w:p>
            <w:pPr>
              <w:jc w:val="left"/>
            </w:pPr>
            <w:r>
              <w:rPr>
                <w:b w:val="false"/>
                <w:bCs w:val="false"/>
              </w:rPr>
              <w:t xml:space="preserve">A1, A2</w:t>
            </w:r>
          </w:p>
        </w:tc>
        <w:tc>
          <w:tcPr>
            <w:tcW w:type="dxa" w:w="4000"/>
            <w:tcMar>
              <w:top w:type="dxa" w:w="60"/>
              <w:left w:type="dxa" w:w="100"/>
              <w:bottom w:type="dxa" w:w="60"/>
              <w:right w:type="dxa" w:w="100"/>
            </w:tcMar>
          </w:tcPr>
          <w:p>
            <w:pPr>
              <w:jc w:val="left"/>
            </w:pPr>
            <w:r>
              <w:rPr>
                <w:b w:val="false"/>
                <w:bCs w:val="false"/>
              </w:rPr>
              <w:t xml:space="preserve">GPU renderer listed is the 1650 Ti, not llvmpipe/software</w:t>
            </w:r>
          </w:p>
        </w:tc>
      </w:tr>
      <w:tr>
        <w:tc>
          <w:tcPr>
            <w:tcW w:type="dxa" w:w="900"/>
            <w:tcMar>
              <w:top w:type="dxa" w:w="60"/>
              <w:left w:type="dxa" w:w="100"/>
              <w:bottom w:type="dxa" w:w="60"/>
              <w:right w:type="dxa" w:w="100"/>
            </w:tcMar>
          </w:tcPr>
          <w:p>
            <w:pPr>
              <w:jc w:val="left"/>
            </w:pPr>
            <w:r>
              <w:rPr>
                <w:b w:val="false"/>
                <w:bCs w:val="false"/>
              </w:rPr>
              <w:t xml:space="preserve">A4</w:t>
            </w:r>
          </w:p>
        </w:tc>
        <w:tc>
          <w:tcPr>
            <w:tcW w:type="dxa" w:w="3300"/>
            <w:tcMar>
              <w:top w:type="dxa" w:w="60"/>
              <w:left w:type="dxa" w:w="100"/>
              <w:bottom w:type="dxa" w:w="60"/>
              <w:right w:type="dxa" w:w="100"/>
            </w:tcMar>
          </w:tcPr>
          <w:p>
            <w:pPr>
              <w:jc w:val="left"/>
            </w:pPr>
            <w:r>
              <w:rPr>
                <w:b w:val="false"/>
                <w:bCs w:val="false"/>
              </w:rPr>
              <w:t xml:space="preserve">Configure WSLg (or X11 forwarding) so Gazebo's GUI can display from WSL2</w:t>
            </w:r>
          </w:p>
        </w:tc>
        <w:tc>
          <w:tcPr>
            <w:tcW w:type="dxa" w:w="1500"/>
            <w:tcMar>
              <w:top w:type="dxa" w:w="60"/>
              <w:left w:type="dxa" w:w="100"/>
              <w:bottom w:type="dxa" w:w="60"/>
              <w:right w:type="dxa" w:w="100"/>
            </w:tcMar>
          </w:tcPr>
          <w:p>
            <w:pPr>
              <w:jc w:val="left"/>
            </w:pPr>
            <w:r>
              <w:rPr>
                <w:b w:val="false"/>
                <w:bCs w:val="false"/>
              </w:rPr>
              <w:t xml:space="preserve">A3</w:t>
            </w:r>
          </w:p>
        </w:tc>
        <w:tc>
          <w:tcPr>
            <w:tcW w:type="dxa" w:w="4000"/>
            <w:tcMar>
              <w:top w:type="dxa" w:w="60"/>
              <w:left w:type="dxa" w:w="100"/>
              <w:bottom w:type="dxa" w:w="60"/>
              <w:right w:type="dxa" w:w="100"/>
            </w:tcMar>
          </w:tcPr>
          <w:p>
            <w:pPr>
              <w:jc w:val="left"/>
            </w:pPr>
            <w:r>
              <w:rPr>
                <w:b w:val="false"/>
                <w:bCs w:val="false"/>
              </w:rPr>
              <w:t xml:space="preserve">A simple GUI app (e.g. glxgears) renders on the Windows desktop</w:t>
            </w:r>
          </w:p>
        </w:tc>
      </w:tr>
      <w:tr>
        <w:tc>
          <w:tcPr>
            <w:tcW w:type="dxa" w:w="900"/>
            <w:tcMar>
              <w:top w:type="dxa" w:w="60"/>
              <w:left w:type="dxa" w:w="100"/>
              <w:bottom w:type="dxa" w:w="60"/>
              <w:right w:type="dxa" w:w="100"/>
            </w:tcMar>
          </w:tcPr>
          <w:p>
            <w:pPr>
              <w:jc w:val="left"/>
            </w:pPr>
            <w:r>
              <w:rPr>
                <w:b w:val="false"/>
                <w:bCs w:val="false"/>
              </w:rPr>
              <w:t xml:space="preserve">A5</w:t>
            </w:r>
          </w:p>
        </w:tc>
        <w:tc>
          <w:tcPr>
            <w:tcW w:type="dxa" w:w="3300"/>
            <w:tcMar>
              <w:top w:type="dxa" w:w="60"/>
              <w:left w:type="dxa" w:w="100"/>
              <w:bottom w:type="dxa" w:w="60"/>
              <w:right w:type="dxa" w:w="100"/>
            </w:tcMar>
          </w:tcPr>
          <w:p>
            <w:pPr>
              <w:jc w:val="left"/>
            </w:pPr>
            <w:r>
              <w:rPr>
                <w:b w:val="false"/>
                <w:bCs w:val="false"/>
              </w:rPr>
              <w:t xml:space="preserve">Benchmark VRAM/frame rate for an empty Gazebo world in two modes: GUI (gz sim) and headless server-only (gz sim -s -r)</w:t>
            </w:r>
          </w:p>
        </w:tc>
        <w:tc>
          <w:tcPr>
            <w:tcW w:type="dxa" w:w="1500"/>
            <w:tcMar>
              <w:top w:type="dxa" w:w="60"/>
              <w:left w:type="dxa" w:w="100"/>
              <w:bottom w:type="dxa" w:w="60"/>
              <w:right w:type="dxa" w:w="100"/>
            </w:tcMar>
          </w:tcPr>
          <w:p>
            <w:pPr>
              <w:jc w:val="left"/>
            </w:pPr>
            <w:r>
              <w:rPr>
                <w:b w:val="false"/>
                <w:bCs w:val="false"/>
              </w:rPr>
              <w:t xml:space="preserve">A4, WP-C installed</w:t>
            </w:r>
          </w:p>
        </w:tc>
        <w:tc>
          <w:tcPr>
            <w:tcW w:type="dxa" w:w="4000"/>
            <w:tcMar>
              <w:top w:type="dxa" w:w="60"/>
              <w:left w:type="dxa" w:w="100"/>
              <w:bottom w:type="dxa" w:w="60"/>
              <w:right w:type="dxa" w:w="100"/>
            </w:tcMar>
          </w:tcPr>
          <w:p>
            <w:pPr>
              <w:jc w:val="left"/>
            </w:pPr>
            <w:r>
              <w:rPr>
                <w:b w:val="false"/>
                <w:bCs w:val="false"/>
              </w:rPr>
              <w:t xml:space="preserve">Both figures recorded; headless VRAM draw establishes the real training-time baseline, GUI figure establishes the dev/debug baseline</w:t>
            </w:r>
          </w:p>
        </w:tc>
      </w:tr>
    </w:tbl>
    <w:p>
      <w:pPr>
        <w:spacing w:after="200"/>
      </w:pPr>
    </w:p>
    <w:p>
      <w:pPr>
        <w:pStyle w:val="Heading2"/>
        <w:spacing w:after="120" w:before="240"/>
      </w:pPr>
      <w:r>
        <w:t xml:space="preserve">WP-B. ROS2 installation &amp; workspace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00"/>
        <w:gridCol w:w="4000"/>
      </w:tblGrid>
      <w:tr>
        <w:trPr>
          <w:tblHeader/>
        </w:trPr>
        <w:tc>
          <w:tcPr>
            <w:tcW w:type="dxa" w:w="900"/>
            <w:shd w:fill="D9E2F3" w:color="auto" w:val="clear"/>
            <w:tcMar>
              <w:top w:type="dxa" w:w="60"/>
              <w:left w:type="dxa" w:w="100"/>
              <w:bottom w:type="dxa" w:w="60"/>
              <w:right w:type="dxa" w:w="100"/>
            </w:tcMar>
          </w:tcPr>
          <w:p>
            <w:pPr>
              <w:jc w:val="left"/>
            </w:pPr>
            <w:r>
              <w:rPr>
                <w:b/>
                <w:bCs/>
              </w:rPr>
              <w:t xml:space="preserve">ID</w:t>
            </w:r>
          </w:p>
        </w:tc>
        <w:tc>
          <w:tcPr>
            <w:tcW w:type="dxa" w:w="3300"/>
            <w:shd w:fill="D9E2F3" w:color="auto" w:val="clear"/>
            <w:tcMar>
              <w:top w:type="dxa" w:w="60"/>
              <w:left w:type="dxa" w:w="100"/>
              <w:bottom w:type="dxa" w:w="60"/>
              <w:right w:type="dxa" w:w="100"/>
            </w:tcMar>
          </w:tcPr>
          <w:p>
            <w:pPr>
              <w:jc w:val="left"/>
            </w:pPr>
            <w:r>
              <w:rPr>
                <w:b/>
                <w:bCs/>
              </w:rPr>
              <w:t xml:space="preserve">Task</w:t>
            </w:r>
          </w:p>
        </w:tc>
        <w:tc>
          <w:tcPr>
            <w:tcW w:type="dxa" w:w="1500"/>
            <w:shd w:fill="D9E2F3" w:color="auto" w:val="clear"/>
            <w:tcMar>
              <w:top w:type="dxa" w:w="60"/>
              <w:left w:type="dxa" w:w="100"/>
              <w:bottom w:type="dxa" w:w="60"/>
              <w:right w:type="dxa" w:w="100"/>
            </w:tcMar>
          </w:tcPr>
          <w:p>
            <w:pPr>
              <w:jc w:val="left"/>
            </w:pPr>
            <w:r>
              <w:rPr>
                <w:b/>
                <w:bCs/>
              </w:rPr>
              <w:t xml:space="preserve">Depends on</w:t>
            </w:r>
          </w:p>
        </w:tc>
        <w:tc>
          <w:tcPr>
            <w:tcW w:type="dxa" w:w="4000"/>
            <w:shd w:fill="D9E2F3" w:color="auto" w:val="clear"/>
            <w:tcMar>
              <w:top w:type="dxa" w:w="60"/>
              <w:left w:type="dxa" w:w="100"/>
              <w:bottom w:type="dxa" w:w="60"/>
              <w:right w:type="dxa" w:w="100"/>
            </w:tcMar>
          </w:tcPr>
          <w:p>
            <w:pPr>
              <w:jc w:val="left"/>
            </w:pPr>
            <w:r>
              <w:rPr>
                <w:b/>
                <w:bCs/>
              </w:rPr>
              <w:t xml:space="preserve">Acceptance criteria</w:t>
            </w:r>
          </w:p>
        </w:tc>
      </w:tr>
      <w:tr>
        <w:tc>
          <w:tcPr>
            <w:tcW w:type="dxa" w:w="900"/>
            <w:tcMar>
              <w:top w:type="dxa" w:w="60"/>
              <w:left w:type="dxa" w:w="100"/>
              <w:bottom w:type="dxa" w:w="60"/>
              <w:right w:type="dxa" w:w="100"/>
            </w:tcMar>
          </w:tcPr>
          <w:p>
            <w:pPr>
              <w:jc w:val="left"/>
            </w:pPr>
            <w:r>
              <w:rPr>
                <w:b w:val="false"/>
                <w:bCs w:val="false"/>
              </w:rPr>
              <w:t xml:space="preserve">B1</w:t>
            </w:r>
          </w:p>
        </w:tc>
        <w:tc>
          <w:tcPr>
            <w:tcW w:type="dxa" w:w="3300"/>
            <w:tcMar>
              <w:top w:type="dxa" w:w="60"/>
              <w:left w:type="dxa" w:w="100"/>
              <w:bottom w:type="dxa" w:w="60"/>
              <w:right w:type="dxa" w:w="100"/>
            </w:tcMar>
          </w:tcPr>
          <w:p>
            <w:pPr>
              <w:jc w:val="left"/>
            </w:pPr>
            <w:r>
              <w:rPr>
                <w:b w:val="false"/>
                <w:bCs w:val="false"/>
              </w:rPr>
              <w:t xml:space="preserve">Install the chosen ROS2 distro via apt</w:t>
            </w:r>
          </w:p>
        </w:tc>
        <w:tc>
          <w:tcPr>
            <w:tcW w:type="dxa" w:w="1500"/>
            <w:tcMar>
              <w:top w:type="dxa" w:w="60"/>
              <w:left w:type="dxa" w:w="100"/>
              <w:bottom w:type="dxa" w:w="60"/>
              <w:right w:type="dxa" w:w="100"/>
            </w:tcMar>
          </w:tcPr>
          <w:p>
            <w:pPr>
              <w:jc w:val="left"/>
            </w:pPr>
            <w:r>
              <w:rPr>
                <w:b w:val="false"/>
                <w:bCs w:val="false"/>
              </w:rPr>
              <w:t xml:space="preserve">A2</w:t>
            </w:r>
          </w:p>
        </w:tc>
        <w:tc>
          <w:tcPr>
            <w:tcW w:type="dxa" w:w="4000"/>
            <w:tcMar>
              <w:top w:type="dxa" w:w="60"/>
              <w:left w:type="dxa" w:w="100"/>
              <w:bottom w:type="dxa" w:w="60"/>
              <w:right w:type="dxa" w:w="100"/>
            </w:tcMar>
          </w:tcPr>
          <w:p>
            <w:pPr>
              <w:jc w:val="left"/>
            </w:pPr>
            <w:r>
              <w:rPr>
                <w:b w:val="false"/>
                <w:bCs w:val="false"/>
              </w:rPr>
              <w:t xml:space="preserve">ros2 --version reports the correct distro</w:t>
            </w:r>
          </w:p>
        </w:tc>
      </w:tr>
      <w:tr>
        <w:tc>
          <w:tcPr>
            <w:tcW w:type="dxa" w:w="900"/>
            <w:tcMar>
              <w:top w:type="dxa" w:w="60"/>
              <w:left w:type="dxa" w:w="100"/>
              <w:bottom w:type="dxa" w:w="60"/>
              <w:right w:type="dxa" w:w="100"/>
            </w:tcMar>
          </w:tcPr>
          <w:p>
            <w:pPr>
              <w:jc w:val="left"/>
            </w:pPr>
            <w:r>
              <w:rPr>
                <w:b w:val="false"/>
                <w:bCs w:val="false"/>
              </w:rPr>
              <w:t xml:space="preserve">B2</w:t>
            </w:r>
          </w:p>
        </w:tc>
        <w:tc>
          <w:tcPr>
            <w:tcW w:type="dxa" w:w="3300"/>
            <w:tcMar>
              <w:top w:type="dxa" w:w="60"/>
              <w:left w:type="dxa" w:w="100"/>
              <w:bottom w:type="dxa" w:w="60"/>
              <w:right w:type="dxa" w:w="100"/>
            </w:tcMar>
          </w:tcPr>
          <w:p>
            <w:pPr>
              <w:jc w:val="left"/>
            </w:pPr>
            <w:r>
              <w:rPr>
                <w:b w:val="false"/>
                <w:bCs w:val="false"/>
              </w:rPr>
              <w:t xml:space="preserve">Create the colcon workspace layout (src/ tree) following the repo's package conventions</w:t>
            </w:r>
          </w:p>
        </w:tc>
        <w:tc>
          <w:tcPr>
            <w:tcW w:type="dxa" w:w="1500"/>
            <w:tcMar>
              <w:top w:type="dxa" w:w="60"/>
              <w:left w:type="dxa" w:w="100"/>
              <w:bottom w:type="dxa" w:w="60"/>
              <w:right w:type="dxa" w:w="100"/>
            </w:tcMar>
          </w:tcPr>
          <w:p>
            <w:pPr>
              <w:jc w:val="left"/>
            </w:pPr>
            <w:r>
              <w:rPr>
                <w:b w:val="false"/>
                <w:bCs w:val="false"/>
              </w:rPr>
              <w:t xml:space="preserve">B1</w:t>
            </w:r>
          </w:p>
        </w:tc>
        <w:tc>
          <w:tcPr>
            <w:tcW w:type="dxa" w:w="4000"/>
            <w:tcMar>
              <w:top w:type="dxa" w:w="60"/>
              <w:left w:type="dxa" w:w="100"/>
              <w:bottom w:type="dxa" w:w="60"/>
              <w:right w:type="dxa" w:w="100"/>
            </w:tcMar>
          </w:tcPr>
          <w:p>
            <w:pPr>
              <w:jc w:val="left"/>
            </w:pPr>
            <w:r>
              <w:rPr>
                <w:b w:val="false"/>
                <w:bCs w:val="false"/>
              </w:rPr>
              <w:t xml:space="preserve">colcon build succeeds on an empty workspace</w:t>
            </w:r>
          </w:p>
        </w:tc>
      </w:tr>
      <w:tr>
        <w:tc>
          <w:tcPr>
            <w:tcW w:type="dxa" w:w="900"/>
            <w:tcMar>
              <w:top w:type="dxa" w:w="60"/>
              <w:left w:type="dxa" w:w="100"/>
              <w:bottom w:type="dxa" w:w="60"/>
              <w:right w:type="dxa" w:w="100"/>
            </w:tcMar>
          </w:tcPr>
          <w:p>
            <w:pPr>
              <w:jc w:val="left"/>
            </w:pPr>
            <w:r>
              <w:rPr>
                <w:b w:val="false"/>
                <w:bCs w:val="false"/>
              </w:rPr>
              <w:t xml:space="preserve">B3</w:t>
            </w:r>
          </w:p>
        </w:tc>
        <w:tc>
          <w:tcPr>
            <w:tcW w:type="dxa" w:w="3300"/>
            <w:tcMar>
              <w:top w:type="dxa" w:w="60"/>
              <w:left w:type="dxa" w:w="100"/>
              <w:bottom w:type="dxa" w:w="60"/>
              <w:right w:type="dxa" w:w="100"/>
            </w:tcMar>
          </w:tcPr>
          <w:p>
            <w:pPr>
              <w:jc w:val="left"/>
            </w:pPr>
            <w:r>
              <w:rPr>
                <w:b w:val="false"/>
                <w:bCs w:val="false"/>
              </w:rPr>
              <w:t xml:space="preserve">Smoke-test the install with the demo talker/listener</w:t>
            </w:r>
          </w:p>
        </w:tc>
        <w:tc>
          <w:tcPr>
            <w:tcW w:type="dxa" w:w="1500"/>
            <w:tcMar>
              <w:top w:type="dxa" w:w="60"/>
              <w:left w:type="dxa" w:w="100"/>
              <w:bottom w:type="dxa" w:w="60"/>
              <w:right w:type="dxa" w:w="100"/>
            </w:tcMar>
          </w:tcPr>
          <w:p>
            <w:pPr>
              <w:jc w:val="left"/>
            </w:pPr>
            <w:r>
              <w:rPr>
                <w:b w:val="false"/>
                <w:bCs w:val="false"/>
              </w:rPr>
              <w:t xml:space="preserve">B2</w:t>
            </w:r>
          </w:p>
        </w:tc>
        <w:tc>
          <w:tcPr>
            <w:tcW w:type="dxa" w:w="4000"/>
            <w:tcMar>
              <w:top w:type="dxa" w:w="60"/>
              <w:left w:type="dxa" w:w="100"/>
              <w:bottom w:type="dxa" w:w="60"/>
              <w:right w:type="dxa" w:w="100"/>
            </w:tcMar>
          </w:tcPr>
          <w:p>
            <w:pPr>
              <w:jc w:val="left"/>
            </w:pPr>
            <w:r>
              <w:rPr>
                <w:b w:val="false"/>
                <w:bCs w:val="false"/>
              </w:rPr>
              <w:t xml:space="preserve">ros2 topic list and talker/listener exchange messages</w:t>
            </w:r>
          </w:p>
        </w:tc>
      </w:tr>
      <w:tr>
        <w:tc>
          <w:tcPr>
            <w:tcW w:type="dxa" w:w="900"/>
            <w:tcMar>
              <w:top w:type="dxa" w:w="60"/>
              <w:left w:type="dxa" w:w="100"/>
              <w:bottom w:type="dxa" w:w="60"/>
              <w:right w:type="dxa" w:w="100"/>
            </w:tcMar>
          </w:tcPr>
          <w:p>
            <w:pPr>
              <w:jc w:val="left"/>
            </w:pPr>
            <w:r>
              <w:rPr>
                <w:b w:val="false"/>
                <w:bCs w:val="false"/>
              </w:rPr>
              <w:t xml:space="preserve">B4</w:t>
            </w:r>
          </w:p>
        </w:tc>
        <w:tc>
          <w:tcPr>
            <w:tcW w:type="dxa" w:w="3300"/>
            <w:tcMar>
              <w:top w:type="dxa" w:w="60"/>
              <w:left w:type="dxa" w:w="100"/>
              <w:bottom w:type="dxa" w:w="60"/>
              <w:right w:type="dxa" w:w="100"/>
            </w:tcMar>
          </w:tcPr>
          <w:p>
            <w:pPr>
              <w:jc w:val="left"/>
            </w:pPr>
            <w:r>
              <w:rPr>
                <w:b w:val="false"/>
                <w:bCs w:val="false"/>
              </w:rPr>
              <w:t xml:space="preserve">Decide and document package layout for future nodes (mission_command, vlm_planner, rl_controller, swarm_coord)</w:t>
            </w:r>
          </w:p>
        </w:tc>
        <w:tc>
          <w:tcPr>
            <w:tcW w:type="dxa" w:w="1500"/>
            <w:tcMar>
              <w:top w:type="dxa" w:w="60"/>
              <w:left w:type="dxa" w:w="100"/>
              <w:bottom w:type="dxa" w:w="60"/>
              <w:right w:type="dxa" w:w="100"/>
            </w:tcMar>
          </w:tcPr>
          <w:p>
            <w:pPr>
              <w:jc w:val="left"/>
            </w:pPr>
            <w:r>
              <w:rPr>
                <w:b w:val="false"/>
                <w:bCs w:val="false"/>
              </w:rPr>
              <w:t xml:space="preserve">B3</w:t>
            </w:r>
          </w:p>
        </w:tc>
        <w:tc>
          <w:tcPr>
            <w:tcW w:type="dxa" w:w="4000"/>
            <w:tcMar>
              <w:top w:type="dxa" w:w="60"/>
              <w:left w:type="dxa" w:w="100"/>
              <w:bottom w:type="dxa" w:w="60"/>
              <w:right w:type="dxa" w:w="100"/>
            </w:tcMar>
          </w:tcPr>
          <w:p>
            <w:pPr>
              <w:jc w:val="left"/>
            </w:pPr>
            <w:r>
              <w:rPr>
                <w:b w:val="false"/>
                <w:bCs w:val="false"/>
              </w:rPr>
              <w:t xml:space="preserve">README documents the package map, even if packages are still empty</w:t>
            </w:r>
          </w:p>
        </w:tc>
      </w:tr>
    </w:tbl>
    <w:p>
      <w:pPr>
        <w:spacing w:after="200"/>
      </w:pPr>
    </w:p>
    <w:p>
      <w:pPr>
        <w:pStyle w:val="Heading2"/>
        <w:spacing w:after="120" w:before="240"/>
      </w:pPr>
      <w:r>
        <w:t xml:space="preserve">WP-C. Gazebo Harmonic &amp; ROS2 bridge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00"/>
        <w:gridCol w:w="4000"/>
      </w:tblGrid>
      <w:tr>
        <w:trPr>
          <w:tblHeader/>
        </w:trPr>
        <w:tc>
          <w:tcPr>
            <w:tcW w:type="dxa" w:w="900"/>
            <w:shd w:fill="D9E2F3" w:color="auto" w:val="clear"/>
            <w:tcMar>
              <w:top w:type="dxa" w:w="60"/>
              <w:left w:type="dxa" w:w="100"/>
              <w:bottom w:type="dxa" w:w="60"/>
              <w:right w:type="dxa" w:w="100"/>
            </w:tcMar>
          </w:tcPr>
          <w:p>
            <w:pPr>
              <w:jc w:val="left"/>
            </w:pPr>
            <w:r>
              <w:rPr>
                <w:b/>
                <w:bCs/>
              </w:rPr>
              <w:t xml:space="preserve">ID</w:t>
            </w:r>
          </w:p>
        </w:tc>
        <w:tc>
          <w:tcPr>
            <w:tcW w:type="dxa" w:w="3300"/>
            <w:shd w:fill="D9E2F3" w:color="auto" w:val="clear"/>
            <w:tcMar>
              <w:top w:type="dxa" w:w="60"/>
              <w:left w:type="dxa" w:w="100"/>
              <w:bottom w:type="dxa" w:w="60"/>
              <w:right w:type="dxa" w:w="100"/>
            </w:tcMar>
          </w:tcPr>
          <w:p>
            <w:pPr>
              <w:jc w:val="left"/>
            </w:pPr>
            <w:r>
              <w:rPr>
                <w:b/>
                <w:bCs/>
              </w:rPr>
              <w:t xml:space="preserve">Task</w:t>
            </w:r>
          </w:p>
        </w:tc>
        <w:tc>
          <w:tcPr>
            <w:tcW w:type="dxa" w:w="1500"/>
            <w:shd w:fill="D9E2F3" w:color="auto" w:val="clear"/>
            <w:tcMar>
              <w:top w:type="dxa" w:w="60"/>
              <w:left w:type="dxa" w:w="100"/>
              <w:bottom w:type="dxa" w:w="60"/>
              <w:right w:type="dxa" w:w="100"/>
            </w:tcMar>
          </w:tcPr>
          <w:p>
            <w:pPr>
              <w:jc w:val="left"/>
            </w:pPr>
            <w:r>
              <w:rPr>
                <w:b/>
                <w:bCs/>
              </w:rPr>
              <w:t xml:space="preserve">Depends on</w:t>
            </w:r>
          </w:p>
        </w:tc>
        <w:tc>
          <w:tcPr>
            <w:tcW w:type="dxa" w:w="4000"/>
            <w:shd w:fill="D9E2F3" w:color="auto" w:val="clear"/>
            <w:tcMar>
              <w:top w:type="dxa" w:w="60"/>
              <w:left w:type="dxa" w:w="100"/>
              <w:bottom w:type="dxa" w:w="60"/>
              <w:right w:type="dxa" w:w="100"/>
            </w:tcMar>
          </w:tcPr>
          <w:p>
            <w:pPr>
              <w:jc w:val="left"/>
            </w:pPr>
            <w:r>
              <w:rPr>
                <w:b/>
                <w:bCs/>
              </w:rPr>
              <w:t xml:space="preserve">Acceptance criteria</w:t>
            </w:r>
          </w:p>
        </w:tc>
      </w:tr>
      <w:tr>
        <w:tc>
          <w:tcPr>
            <w:tcW w:type="dxa" w:w="900"/>
            <w:tcMar>
              <w:top w:type="dxa" w:w="60"/>
              <w:left w:type="dxa" w:w="100"/>
              <w:bottom w:type="dxa" w:w="60"/>
              <w:right w:type="dxa" w:w="100"/>
            </w:tcMar>
          </w:tcPr>
          <w:p>
            <w:pPr>
              <w:jc w:val="left"/>
            </w:pPr>
            <w:r>
              <w:rPr>
                <w:b w:val="false"/>
                <w:bCs w:val="false"/>
              </w:rPr>
              <w:t xml:space="preserve">C1</w:t>
            </w:r>
          </w:p>
        </w:tc>
        <w:tc>
          <w:tcPr>
            <w:tcW w:type="dxa" w:w="3300"/>
            <w:tcMar>
              <w:top w:type="dxa" w:w="60"/>
              <w:left w:type="dxa" w:w="100"/>
              <w:bottom w:type="dxa" w:w="60"/>
              <w:right w:type="dxa" w:w="100"/>
            </w:tcMar>
          </w:tcPr>
          <w:p>
            <w:pPr>
              <w:jc w:val="left"/>
            </w:pPr>
            <w:r>
              <w:rPr>
                <w:b w:val="false"/>
                <w:bCs w:val="false"/>
              </w:rPr>
              <w:t xml:space="preserve">Install Gazebo Harmonic (gz-sim)</w:t>
            </w:r>
          </w:p>
        </w:tc>
        <w:tc>
          <w:tcPr>
            <w:tcW w:type="dxa" w:w="1500"/>
            <w:tcMar>
              <w:top w:type="dxa" w:w="60"/>
              <w:left w:type="dxa" w:w="100"/>
              <w:bottom w:type="dxa" w:w="60"/>
              <w:right w:type="dxa" w:w="100"/>
            </w:tcMar>
          </w:tcPr>
          <w:p>
            <w:pPr>
              <w:jc w:val="left"/>
            </w:pPr>
            <w:r>
              <w:rPr>
                <w:b w:val="false"/>
                <w:bCs w:val="false"/>
              </w:rPr>
              <w:t xml:space="preserve">A2</w:t>
            </w:r>
          </w:p>
        </w:tc>
        <w:tc>
          <w:tcPr>
            <w:tcW w:type="dxa" w:w="4000"/>
            <w:tcMar>
              <w:top w:type="dxa" w:w="60"/>
              <w:left w:type="dxa" w:w="100"/>
              <w:bottom w:type="dxa" w:w="60"/>
              <w:right w:type="dxa" w:w="100"/>
            </w:tcMar>
          </w:tcPr>
          <w:p>
            <w:pPr>
              <w:jc w:val="left"/>
            </w:pPr>
            <w:r>
              <w:rPr>
                <w:b w:val="false"/>
                <w:bCs w:val="false"/>
              </w:rPr>
              <w:t xml:space="preserve">gz sim launches an empty world</w:t>
            </w:r>
          </w:p>
        </w:tc>
      </w:tr>
      <w:tr>
        <w:tc>
          <w:tcPr>
            <w:tcW w:type="dxa" w:w="900"/>
            <w:tcMar>
              <w:top w:type="dxa" w:w="60"/>
              <w:left w:type="dxa" w:w="100"/>
              <w:bottom w:type="dxa" w:w="60"/>
              <w:right w:type="dxa" w:w="100"/>
            </w:tcMar>
          </w:tcPr>
          <w:p>
            <w:pPr>
              <w:jc w:val="left"/>
            </w:pPr>
            <w:r>
              <w:rPr>
                <w:b w:val="false"/>
                <w:bCs w:val="false"/>
              </w:rPr>
              <w:t xml:space="preserve">C2</w:t>
            </w:r>
          </w:p>
        </w:tc>
        <w:tc>
          <w:tcPr>
            <w:tcW w:type="dxa" w:w="3300"/>
            <w:tcMar>
              <w:top w:type="dxa" w:w="60"/>
              <w:left w:type="dxa" w:w="100"/>
              <w:bottom w:type="dxa" w:w="60"/>
              <w:right w:type="dxa" w:w="100"/>
            </w:tcMar>
          </w:tcPr>
          <w:p>
            <w:pPr>
              <w:jc w:val="left"/>
            </w:pPr>
            <w:r>
              <w:rPr>
                <w:b w:val="false"/>
                <w:bCs w:val="false"/>
              </w:rPr>
              <w:t xml:space="preserve">Install ros_gz bridge packages matching the ROS2 distro</w:t>
            </w:r>
          </w:p>
        </w:tc>
        <w:tc>
          <w:tcPr>
            <w:tcW w:type="dxa" w:w="1500"/>
            <w:tcMar>
              <w:top w:type="dxa" w:w="60"/>
              <w:left w:type="dxa" w:w="100"/>
              <w:bottom w:type="dxa" w:w="60"/>
              <w:right w:type="dxa" w:w="100"/>
            </w:tcMar>
          </w:tcPr>
          <w:p>
            <w:pPr>
              <w:jc w:val="left"/>
            </w:pPr>
            <w:r>
              <w:rPr>
                <w:b w:val="false"/>
                <w:bCs w:val="false"/>
              </w:rPr>
              <w:t xml:space="preserve">B1, C1</w:t>
            </w:r>
          </w:p>
        </w:tc>
        <w:tc>
          <w:tcPr>
            <w:tcW w:type="dxa" w:w="4000"/>
            <w:tcMar>
              <w:top w:type="dxa" w:w="60"/>
              <w:left w:type="dxa" w:w="100"/>
              <w:bottom w:type="dxa" w:w="60"/>
              <w:right w:type="dxa" w:w="100"/>
            </w:tcMar>
          </w:tcPr>
          <w:p>
            <w:pPr>
              <w:jc w:val="left"/>
            </w:pPr>
            <w:r>
              <w:rPr>
                <w:b w:val="false"/>
                <w:bCs w:val="false"/>
              </w:rPr>
              <w:t xml:space="preserve">ros2 pkg list shows ros_gz_bridge, ros_gz_sim</w:t>
            </w:r>
          </w:p>
        </w:tc>
      </w:tr>
      <w:tr>
        <w:tc>
          <w:tcPr>
            <w:tcW w:type="dxa" w:w="900"/>
            <w:tcMar>
              <w:top w:type="dxa" w:w="60"/>
              <w:left w:type="dxa" w:w="100"/>
              <w:bottom w:type="dxa" w:w="60"/>
              <w:right w:type="dxa" w:w="100"/>
            </w:tcMar>
          </w:tcPr>
          <w:p>
            <w:pPr>
              <w:jc w:val="left"/>
            </w:pPr>
            <w:r>
              <w:rPr>
                <w:b w:val="false"/>
                <w:bCs w:val="false"/>
              </w:rPr>
              <w:t xml:space="preserve">C3</w:t>
            </w:r>
          </w:p>
        </w:tc>
        <w:tc>
          <w:tcPr>
            <w:tcW w:type="dxa" w:w="3300"/>
            <w:tcMar>
              <w:top w:type="dxa" w:w="60"/>
              <w:left w:type="dxa" w:w="100"/>
              <w:bottom w:type="dxa" w:w="60"/>
              <w:right w:type="dxa" w:w="100"/>
            </w:tcMar>
          </w:tcPr>
          <w:p>
            <w:pPr>
              <w:jc w:val="left"/>
            </w:pPr>
            <w:r>
              <w:rPr>
                <w:b w:val="false"/>
                <w:bCs w:val="false"/>
              </w:rPr>
              <w:t xml:space="preserve">Bridge /clock and verify ROS2 time sync with the simulation</w:t>
            </w:r>
          </w:p>
        </w:tc>
        <w:tc>
          <w:tcPr>
            <w:tcW w:type="dxa" w:w="1500"/>
            <w:tcMar>
              <w:top w:type="dxa" w:w="60"/>
              <w:left w:type="dxa" w:w="100"/>
              <w:bottom w:type="dxa" w:w="60"/>
              <w:right w:type="dxa" w:w="100"/>
            </w:tcMar>
          </w:tcPr>
          <w:p>
            <w:pPr>
              <w:jc w:val="left"/>
            </w:pPr>
            <w:r>
              <w:rPr>
                <w:b w:val="false"/>
                <w:bCs w:val="false"/>
              </w:rPr>
              <w:t xml:space="preserve">C2</w:t>
            </w:r>
          </w:p>
        </w:tc>
        <w:tc>
          <w:tcPr>
            <w:tcW w:type="dxa" w:w="4000"/>
            <w:tcMar>
              <w:top w:type="dxa" w:w="60"/>
              <w:left w:type="dxa" w:w="100"/>
              <w:bottom w:type="dxa" w:w="60"/>
              <w:right w:type="dxa" w:w="100"/>
            </w:tcMar>
          </w:tcPr>
          <w:p>
            <w:pPr>
              <w:jc w:val="left"/>
            </w:pPr>
            <w:r>
              <w:rPr>
                <w:b w:val="false"/>
                <w:bCs w:val="false"/>
              </w:rPr>
              <w:t xml:space="preserve">ros2 topic hz /clock reports sim-time ticks</w:t>
            </w:r>
          </w:p>
        </w:tc>
      </w:tr>
      <w:tr>
        <w:tc>
          <w:tcPr>
            <w:tcW w:type="dxa" w:w="900"/>
            <w:tcMar>
              <w:top w:type="dxa" w:w="60"/>
              <w:left w:type="dxa" w:w="100"/>
              <w:bottom w:type="dxa" w:w="60"/>
              <w:right w:type="dxa" w:w="100"/>
            </w:tcMar>
          </w:tcPr>
          <w:p>
            <w:pPr>
              <w:jc w:val="left"/>
            </w:pPr>
            <w:r>
              <w:rPr>
                <w:b w:val="false"/>
                <w:bCs w:val="false"/>
              </w:rPr>
              <w:t xml:space="preserve">C4</w:t>
            </w:r>
          </w:p>
        </w:tc>
        <w:tc>
          <w:tcPr>
            <w:tcW w:type="dxa" w:w="3300"/>
            <w:tcMar>
              <w:top w:type="dxa" w:w="60"/>
              <w:left w:type="dxa" w:w="100"/>
              <w:bottom w:type="dxa" w:w="60"/>
              <w:right w:type="dxa" w:w="100"/>
            </w:tcMar>
          </w:tcPr>
          <w:p>
            <w:pPr>
              <w:jc w:val="left"/>
            </w:pPr>
            <w:r>
              <w:rPr>
                <w:b w:val="false"/>
                <w:bCs w:val="false"/>
              </w:rPr>
              <w:t xml:space="preserve">Confirm GPU-accelerated rendering in Gazebo itself (not just raw OpenGL)</w:t>
            </w:r>
          </w:p>
        </w:tc>
        <w:tc>
          <w:tcPr>
            <w:tcW w:type="dxa" w:w="1500"/>
            <w:tcMar>
              <w:top w:type="dxa" w:w="60"/>
              <w:left w:type="dxa" w:w="100"/>
              <w:bottom w:type="dxa" w:w="60"/>
              <w:right w:type="dxa" w:w="100"/>
            </w:tcMar>
          </w:tcPr>
          <w:p>
            <w:pPr>
              <w:jc w:val="left"/>
            </w:pPr>
            <w:r>
              <w:rPr>
                <w:b w:val="false"/>
                <w:bCs w:val="false"/>
              </w:rPr>
              <w:t xml:space="preserve">A3, C1</w:t>
            </w:r>
          </w:p>
        </w:tc>
        <w:tc>
          <w:tcPr>
            <w:tcW w:type="dxa" w:w="4000"/>
            <w:tcMar>
              <w:top w:type="dxa" w:w="60"/>
              <w:left w:type="dxa" w:w="100"/>
              <w:bottom w:type="dxa" w:w="60"/>
              <w:right w:type="dxa" w:w="100"/>
            </w:tcMar>
          </w:tcPr>
          <w:p>
            <w:pPr>
              <w:jc w:val="left"/>
            </w:pPr>
            <w:r>
              <w:rPr>
                <w:b w:val="false"/>
                <w:bCs w:val="false"/>
              </w:rPr>
              <w:t xml:space="preserve">Gazebo's own render engine reports GPU backend, not software fallback</w:t>
            </w:r>
          </w:p>
        </w:tc>
      </w:tr>
    </w:tbl>
    <w:p>
      <w:pPr>
        <w:spacing w:after="200"/>
      </w:pPr>
    </w:p>
    <w:p>
      <w:pPr>
        <w:pStyle w:val="Heading2"/>
        <w:spacing w:after="120" w:before="240"/>
      </w:pPr>
      <w:r>
        <w:t xml:space="preserve">WP-D. PX4 SITL + Gazebo integration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00"/>
        <w:gridCol w:w="4000"/>
      </w:tblGrid>
      <w:tr>
        <w:trPr>
          <w:tblHeader/>
        </w:trPr>
        <w:tc>
          <w:tcPr>
            <w:tcW w:type="dxa" w:w="900"/>
            <w:shd w:fill="D9E2F3" w:color="auto" w:val="clear"/>
            <w:tcMar>
              <w:top w:type="dxa" w:w="60"/>
              <w:left w:type="dxa" w:w="100"/>
              <w:bottom w:type="dxa" w:w="60"/>
              <w:right w:type="dxa" w:w="100"/>
            </w:tcMar>
          </w:tcPr>
          <w:p>
            <w:pPr>
              <w:jc w:val="left"/>
            </w:pPr>
            <w:r>
              <w:rPr>
                <w:b/>
                <w:bCs/>
              </w:rPr>
              <w:t xml:space="preserve">ID</w:t>
            </w:r>
          </w:p>
        </w:tc>
        <w:tc>
          <w:tcPr>
            <w:tcW w:type="dxa" w:w="3300"/>
            <w:shd w:fill="D9E2F3" w:color="auto" w:val="clear"/>
            <w:tcMar>
              <w:top w:type="dxa" w:w="60"/>
              <w:left w:type="dxa" w:w="100"/>
              <w:bottom w:type="dxa" w:w="60"/>
              <w:right w:type="dxa" w:w="100"/>
            </w:tcMar>
          </w:tcPr>
          <w:p>
            <w:pPr>
              <w:jc w:val="left"/>
            </w:pPr>
            <w:r>
              <w:rPr>
                <w:b/>
                <w:bCs/>
              </w:rPr>
              <w:t xml:space="preserve">Task</w:t>
            </w:r>
          </w:p>
        </w:tc>
        <w:tc>
          <w:tcPr>
            <w:tcW w:type="dxa" w:w="1500"/>
            <w:shd w:fill="D9E2F3" w:color="auto" w:val="clear"/>
            <w:tcMar>
              <w:top w:type="dxa" w:w="60"/>
              <w:left w:type="dxa" w:w="100"/>
              <w:bottom w:type="dxa" w:w="60"/>
              <w:right w:type="dxa" w:w="100"/>
            </w:tcMar>
          </w:tcPr>
          <w:p>
            <w:pPr>
              <w:jc w:val="left"/>
            </w:pPr>
            <w:r>
              <w:rPr>
                <w:b/>
                <w:bCs/>
              </w:rPr>
              <w:t xml:space="preserve">Depends on</w:t>
            </w:r>
          </w:p>
        </w:tc>
        <w:tc>
          <w:tcPr>
            <w:tcW w:type="dxa" w:w="4000"/>
            <w:shd w:fill="D9E2F3" w:color="auto" w:val="clear"/>
            <w:tcMar>
              <w:top w:type="dxa" w:w="60"/>
              <w:left w:type="dxa" w:w="100"/>
              <w:bottom w:type="dxa" w:w="60"/>
              <w:right w:type="dxa" w:w="100"/>
            </w:tcMar>
          </w:tcPr>
          <w:p>
            <w:pPr>
              <w:jc w:val="left"/>
            </w:pPr>
            <w:r>
              <w:rPr>
                <w:b/>
                <w:bCs/>
              </w:rPr>
              <w:t xml:space="preserve">Acceptance criteria</w:t>
            </w:r>
          </w:p>
        </w:tc>
      </w:tr>
      <w:tr>
        <w:tc>
          <w:tcPr>
            <w:tcW w:type="dxa" w:w="900"/>
            <w:tcMar>
              <w:top w:type="dxa" w:w="60"/>
              <w:left w:type="dxa" w:w="100"/>
              <w:bottom w:type="dxa" w:w="60"/>
              <w:right w:type="dxa" w:w="100"/>
            </w:tcMar>
          </w:tcPr>
          <w:p>
            <w:pPr>
              <w:jc w:val="left"/>
            </w:pPr>
            <w:r>
              <w:rPr>
                <w:b w:val="false"/>
                <w:bCs w:val="false"/>
              </w:rPr>
              <w:t xml:space="preserve">D1</w:t>
            </w:r>
          </w:p>
        </w:tc>
        <w:tc>
          <w:tcPr>
            <w:tcW w:type="dxa" w:w="3300"/>
            <w:tcMar>
              <w:top w:type="dxa" w:w="60"/>
              <w:left w:type="dxa" w:w="100"/>
              <w:bottom w:type="dxa" w:w="60"/>
              <w:right w:type="dxa" w:w="100"/>
            </w:tcMar>
          </w:tcPr>
          <w:p>
            <w:pPr>
              <w:jc w:val="left"/>
            </w:pPr>
            <w:r>
              <w:rPr>
                <w:b w:val="false"/>
                <w:bCs w:val="false"/>
              </w:rPr>
              <w:t xml:space="preserve">Clone PX4-Autopilot at a release tagged compatible with Gazebo Harmonic</w:t>
            </w:r>
          </w:p>
        </w:tc>
        <w:tc>
          <w:tcPr>
            <w:tcW w:type="dxa" w:w="1500"/>
            <w:tcMar>
              <w:top w:type="dxa" w:w="60"/>
              <w:left w:type="dxa" w:w="100"/>
              <w:bottom w:type="dxa" w:w="60"/>
              <w:right w:type="dxa" w:w="100"/>
            </w:tcMar>
          </w:tcPr>
          <w:p>
            <w:pPr>
              <w:jc w:val="left"/>
            </w:pPr>
            <w:r>
              <w:rPr>
                <w:b w:val="false"/>
                <w:bCs w:val="false"/>
              </w:rPr>
              <w:t xml:space="preserve">C1</w:t>
            </w:r>
          </w:p>
        </w:tc>
        <w:tc>
          <w:tcPr>
            <w:tcW w:type="dxa" w:w="4000"/>
            <w:tcMar>
              <w:top w:type="dxa" w:w="60"/>
              <w:left w:type="dxa" w:w="100"/>
              <w:bottom w:type="dxa" w:w="60"/>
              <w:right w:type="dxa" w:w="100"/>
            </w:tcMar>
          </w:tcPr>
          <w:p>
            <w:pPr>
              <w:jc w:val="left"/>
            </w:pPr>
            <w:r>
              <w:rPr>
                <w:b w:val="false"/>
                <w:bCs w:val="false"/>
              </w:rPr>
              <w:t xml:space="preserve">Version pin recorded in the repo (commit hash or tag)</w:t>
            </w:r>
          </w:p>
        </w:tc>
      </w:tr>
      <w:tr>
        <w:tc>
          <w:tcPr>
            <w:tcW w:type="dxa" w:w="900"/>
            <w:tcMar>
              <w:top w:type="dxa" w:w="60"/>
              <w:left w:type="dxa" w:w="100"/>
              <w:bottom w:type="dxa" w:w="60"/>
              <w:right w:type="dxa" w:w="100"/>
            </w:tcMar>
          </w:tcPr>
          <w:p>
            <w:pPr>
              <w:jc w:val="left"/>
            </w:pPr>
            <w:r>
              <w:rPr>
                <w:b w:val="false"/>
                <w:bCs w:val="false"/>
              </w:rPr>
              <w:t xml:space="preserve">D2</w:t>
            </w:r>
          </w:p>
        </w:tc>
        <w:tc>
          <w:tcPr>
            <w:tcW w:type="dxa" w:w="3300"/>
            <w:tcMar>
              <w:top w:type="dxa" w:w="60"/>
              <w:left w:type="dxa" w:w="100"/>
              <w:bottom w:type="dxa" w:w="60"/>
              <w:right w:type="dxa" w:w="100"/>
            </w:tcMar>
          </w:tcPr>
          <w:p>
            <w:pPr>
              <w:jc w:val="left"/>
            </w:pPr>
            <w:r>
              <w:rPr>
                <w:b w:val="false"/>
                <w:bCs w:val="false"/>
              </w:rPr>
              <w:t xml:space="preserve">Build the Gazebo SITL target for the default quadrotor (make px4_sitl gz_x500)</w:t>
            </w:r>
          </w:p>
        </w:tc>
        <w:tc>
          <w:tcPr>
            <w:tcW w:type="dxa" w:w="1500"/>
            <w:tcMar>
              <w:top w:type="dxa" w:w="60"/>
              <w:left w:type="dxa" w:w="100"/>
              <w:bottom w:type="dxa" w:w="60"/>
              <w:right w:type="dxa" w:w="100"/>
            </w:tcMar>
          </w:tcPr>
          <w:p>
            <w:pPr>
              <w:jc w:val="left"/>
            </w:pPr>
            <w:r>
              <w:rPr>
                <w:b w:val="false"/>
                <w:bCs w:val="false"/>
              </w:rPr>
              <w:t xml:space="preserve">D1, C1</w:t>
            </w:r>
          </w:p>
        </w:tc>
        <w:tc>
          <w:tcPr>
            <w:tcW w:type="dxa" w:w="4000"/>
            <w:tcMar>
              <w:top w:type="dxa" w:w="60"/>
              <w:left w:type="dxa" w:w="100"/>
              <w:bottom w:type="dxa" w:w="60"/>
              <w:right w:type="dxa" w:w="100"/>
            </w:tcMar>
          </w:tcPr>
          <w:p>
            <w:pPr>
              <w:jc w:val="left"/>
            </w:pPr>
            <w:r>
              <w:rPr>
                <w:b w:val="false"/>
                <w:bCs w:val="false"/>
              </w:rPr>
              <w:t xml:space="preserve">Build completes with no errors</w:t>
            </w:r>
          </w:p>
        </w:tc>
      </w:tr>
      <w:tr>
        <w:tc>
          <w:tcPr>
            <w:tcW w:type="dxa" w:w="900"/>
            <w:tcMar>
              <w:top w:type="dxa" w:w="60"/>
              <w:left w:type="dxa" w:w="100"/>
              <w:bottom w:type="dxa" w:w="60"/>
              <w:right w:type="dxa" w:w="100"/>
            </w:tcMar>
          </w:tcPr>
          <w:p>
            <w:pPr>
              <w:jc w:val="left"/>
            </w:pPr>
            <w:r>
              <w:rPr>
                <w:b w:val="false"/>
                <w:bCs w:val="false"/>
              </w:rPr>
              <w:t xml:space="preserve">D3</w:t>
            </w:r>
          </w:p>
        </w:tc>
        <w:tc>
          <w:tcPr>
            <w:tcW w:type="dxa" w:w="3300"/>
            <w:tcMar>
              <w:top w:type="dxa" w:w="60"/>
              <w:left w:type="dxa" w:w="100"/>
              <w:bottom w:type="dxa" w:w="60"/>
              <w:right w:type="dxa" w:w="100"/>
            </w:tcMar>
          </w:tcPr>
          <w:p>
            <w:pPr>
              <w:jc w:val="left"/>
            </w:pPr>
            <w:r>
              <w:rPr>
                <w:b w:val="false"/>
                <w:bCs w:val="false"/>
              </w:rPr>
              <w:t xml:space="preserve">Launch the x500 model in Gazebo and confirm PX4 SITL connects and can arm</w:t>
            </w:r>
          </w:p>
        </w:tc>
        <w:tc>
          <w:tcPr>
            <w:tcW w:type="dxa" w:w="1500"/>
            <w:tcMar>
              <w:top w:type="dxa" w:w="60"/>
              <w:left w:type="dxa" w:w="100"/>
              <w:bottom w:type="dxa" w:w="60"/>
              <w:right w:type="dxa" w:w="100"/>
            </w:tcMar>
          </w:tcPr>
          <w:p>
            <w:pPr>
              <w:jc w:val="left"/>
            </w:pPr>
            <w:r>
              <w:rPr>
                <w:b w:val="false"/>
                <w:bCs w:val="false"/>
              </w:rPr>
              <w:t xml:space="preserve">D2, C4</w:t>
            </w:r>
          </w:p>
        </w:tc>
        <w:tc>
          <w:tcPr>
            <w:tcW w:type="dxa" w:w="4000"/>
            <w:tcMar>
              <w:top w:type="dxa" w:w="60"/>
              <w:left w:type="dxa" w:w="100"/>
              <w:bottom w:type="dxa" w:w="60"/>
              <w:right w:type="dxa" w:w="100"/>
            </w:tcMar>
          </w:tcPr>
          <w:p>
            <w:pPr>
              <w:jc w:val="left"/>
            </w:pPr>
            <w:r>
              <w:rPr>
                <w:b w:val="false"/>
                <w:bCs w:val="false"/>
              </w:rPr>
              <w:t xml:space="preserve">PX4 shell reports armed; props spin in the Gazebo viewport</w:t>
            </w:r>
          </w:p>
        </w:tc>
      </w:tr>
      <w:tr>
        <w:tc>
          <w:tcPr>
            <w:tcW w:type="dxa" w:w="900"/>
            <w:tcMar>
              <w:top w:type="dxa" w:w="60"/>
              <w:left w:type="dxa" w:w="100"/>
              <w:bottom w:type="dxa" w:w="60"/>
              <w:right w:type="dxa" w:w="100"/>
            </w:tcMar>
          </w:tcPr>
          <w:p>
            <w:pPr>
              <w:jc w:val="left"/>
            </w:pPr>
            <w:r>
              <w:rPr>
                <w:b w:val="false"/>
                <w:bCs w:val="false"/>
              </w:rPr>
              <w:t xml:space="preserve">D4</w:t>
            </w:r>
          </w:p>
        </w:tc>
        <w:tc>
          <w:tcPr>
            <w:tcW w:type="dxa" w:w="3300"/>
            <w:tcMar>
              <w:top w:type="dxa" w:w="60"/>
              <w:left w:type="dxa" w:w="100"/>
              <w:bottom w:type="dxa" w:w="60"/>
              <w:right w:type="dxa" w:w="100"/>
            </w:tcMar>
          </w:tcPr>
          <w:p>
            <w:pPr>
              <w:jc w:val="left"/>
            </w:pPr>
            <w:r>
              <w:rPr>
                <w:b w:val="false"/>
                <w:bCs w:val="false"/>
              </w:rPr>
              <w:t xml:space="preserve">Validate telemetry via QGroundControl or the MAVLink console</w:t>
            </w:r>
          </w:p>
        </w:tc>
        <w:tc>
          <w:tcPr>
            <w:tcW w:type="dxa" w:w="1500"/>
            <w:tcMar>
              <w:top w:type="dxa" w:w="60"/>
              <w:left w:type="dxa" w:w="100"/>
              <w:bottom w:type="dxa" w:w="60"/>
              <w:right w:type="dxa" w:w="100"/>
            </w:tcMar>
          </w:tcPr>
          <w:p>
            <w:pPr>
              <w:jc w:val="left"/>
            </w:pPr>
            <w:r>
              <w:rPr>
                <w:b w:val="false"/>
                <w:bCs w:val="false"/>
              </w:rPr>
              <w:t xml:space="preserve">D3</w:t>
            </w:r>
          </w:p>
        </w:tc>
        <w:tc>
          <w:tcPr>
            <w:tcW w:type="dxa" w:w="4000"/>
            <w:tcMar>
              <w:top w:type="dxa" w:w="60"/>
              <w:left w:type="dxa" w:w="100"/>
              <w:bottom w:type="dxa" w:w="60"/>
              <w:right w:type="dxa" w:w="100"/>
            </w:tcMar>
          </w:tcPr>
          <w:p>
            <w:pPr>
              <w:jc w:val="left"/>
            </w:pPr>
            <w:r>
              <w:rPr>
                <w:b w:val="false"/>
                <w:bCs w:val="false"/>
              </w:rPr>
              <w:t xml:space="preserve">QGroundControl shows live attitude/position telemetry from the SITL instance</w:t>
            </w:r>
          </w:p>
        </w:tc>
      </w:tr>
    </w:tbl>
    <w:p>
      <w:pPr>
        <w:spacing w:after="200"/>
      </w:pPr>
    </w:p>
    <w:p>
      <w:pPr>
        <w:pStyle w:val="Heading2"/>
        <w:spacing w:after="120" w:before="240"/>
      </w:pPr>
      <w:r>
        <w:t xml:space="preserve">WP-E. MAVROS bridge &amp; manual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00"/>
        <w:gridCol w:w="4000"/>
      </w:tblGrid>
      <w:tr>
        <w:trPr>
          <w:tblHeader/>
        </w:trPr>
        <w:tc>
          <w:tcPr>
            <w:tcW w:type="dxa" w:w="900"/>
            <w:shd w:fill="D9E2F3" w:color="auto" w:val="clear"/>
            <w:tcMar>
              <w:top w:type="dxa" w:w="60"/>
              <w:left w:type="dxa" w:w="100"/>
              <w:bottom w:type="dxa" w:w="60"/>
              <w:right w:type="dxa" w:w="100"/>
            </w:tcMar>
          </w:tcPr>
          <w:p>
            <w:pPr>
              <w:jc w:val="left"/>
            </w:pPr>
            <w:r>
              <w:rPr>
                <w:b/>
                <w:bCs/>
              </w:rPr>
              <w:t xml:space="preserve">ID</w:t>
            </w:r>
          </w:p>
        </w:tc>
        <w:tc>
          <w:tcPr>
            <w:tcW w:type="dxa" w:w="3300"/>
            <w:shd w:fill="D9E2F3" w:color="auto" w:val="clear"/>
            <w:tcMar>
              <w:top w:type="dxa" w:w="60"/>
              <w:left w:type="dxa" w:w="100"/>
              <w:bottom w:type="dxa" w:w="60"/>
              <w:right w:type="dxa" w:w="100"/>
            </w:tcMar>
          </w:tcPr>
          <w:p>
            <w:pPr>
              <w:jc w:val="left"/>
            </w:pPr>
            <w:r>
              <w:rPr>
                <w:b/>
                <w:bCs/>
              </w:rPr>
              <w:t xml:space="preserve">Task</w:t>
            </w:r>
          </w:p>
        </w:tc>
        <w:tc>
          <w:tcPr>
            <w:tcW w:type="dxa" w:w="1500"/>
            <w:shd w:fill="D9E2F3" w:color="auto" w:val="clear"/>
            <w:tcMar>
              <w:top w:type="dxa" w:w="60"/>
              <w:left w:type="dxa" w:w="100"/>
              <w:bottom w:type="dxa" w:w="60"/>
              <w:right w:type="dxa" w:w="100"/>
            </w:tcMar>
          </w:tcPr>
          <w:p>
            <w:pPr>
              <w:jc w:val="left"/>
            </w:pPr>
            <w:r>
              <w:rPr>
                <w:b/>
                <w:bCs/>
              </w:rPr>
              <w:t xml:space="preserve">Depends on</w:t>
            </w:r>
          </w:p>
        </w:tc>
        <w:tc>
          <w:tcPr>
            <w:tcW w:type="dxa" w:w="4000"/>
            <w:shd w:fill="D9E2F3" w:color="auto" w:val="clear"/>
            <w:tcMar>
              <w:top w:type="dxa" w:w="60"/>
              <w:left w:type="dxa" w:w="100"/>
              <w:bottom w:type="dxa" w:w="60"/>
              <w:right w:type="dxa" w:w="100"/>
            </w:tcMar>
          </w:tcPr>
          <w:p>
            <w:pPr>
              <w:jc w:val="left"/>
            </w:pPr>
            <w:r>
              <w:rPr>
                <w:b/>
                <w:bCs/>
              </w:rPr>
              <w:t xml:space="preserve">Acceptance criteria</w:t>
            </w:r>
          </w:p>
        </w:tc>
      </w:tr>
      <w:tr>
        <w:tc>
          <w:tcPr>
            <w:tcW w:type="dxa" w:w="900"/>
            <w:tcMar>
              <w:top w:type="dxa" w:w="60"/>
              <w:left w:type="dxa" w:w="100"/>
              <w:bottom w:type="dxa" w:w="60"/>
              <w:right w:type="dxa" w:w="100"/>
            </w:tcMar>
          </w:tcPr>
          <w:p>
            <w:pPr>
              <w:jc w:val="left"/>
            </w:pPr>
            <w:r>
              <w:rPr>
                <w:b w:val="false"/>
                <w:bCs w:val="false"/>
              </w:rPr>
              <w:t xml:space="preserve">E1</w:t>
            </w:r>
          </w:p>
        </w:tc>
        <w:tc>
          <w:tcPr>
            <w:tcW w:type="dxa" w:w="3300"/>
            <w:tcMar>
              <w:top w:type="dxa" w:w="60"/>
              <w:left w:type="dxa" w:w="100"/>
              <w:bottom w:type="dxa" w:w="60"/>
              <w:right w:type="dxa" w:w="100"/>
            </w:tcMar>
          </w:tcPr>
          <w:p>
            <w:pPr>
              <w:jc w:val="left"/>
            </w:pPr>
            <w:r>
              <w:rPr>
                <w:b w:val="false"/>
                <w:bCs w:val="false"/>
              </w:rPr>
              <w:t xml:space="preserve">Install MAVROS and the MAVLink dialect matching the PX4 version</w:t>
            </w:r>
          </w:p>
        </w:tc>
        <w:tc>
          <w:tcPr>
            <w:tcW w:type="dxa" w:w="1500"/>
            <w:tcMar>
              <w:top w:type="dxa" w:w="60"/>
              <w:left w:type="dxa" w:w="100"/>
              <w:bottom w:type="dxa" w:w="60"/>
              <w:right w:type="dxa" w:w="100"/>
            </w:tcMar>
          </w:tcPr>
          <w:p>
            <w:pPr>
              <w:jc w:val="left"/>
            </w:pPr>
            <w:r>
              <w:rPr>
                <w:b w:val="false"/>
                <w:bCs w:val="false"/>
              </w:rPr>
              <w:t xml:space="preserve">B1, D1</w:t>
            </w:r>
          </w:p>
        </w:tc>
        <w:tc>
          <w:tcPr>
            <w:tcW w:type="dxa" w:w="4000"/>
            <w:tcMar>
              <w:top w:type="dxa" w:w="60"/>
              <w:left w:type="dxa" w:w="100"/>
              <w:bottom w:type="dxa" w:w="60"/>
              <w:right w:type="dxa" w:w="100"/>
            </w:tcMar>
          </w:tcPr>
          <w:p>
            <w:pPr>
              <w:jc w:val="left"/>
            </w:pPr>
            <w:r>
              <w:rPr>
                <w:b w:val="false"/>
                <w:bCs w:val="false"/>
              </w:rPr>
              <w:t xml:space="preserve">ros2 pkg list shows mavros</w:t>
            </w:r>
          </w:p>
        </w:tc>
      </w:tr>
      <w:tr>
        <w:tc>
          <w:tcPr>
            <w:tcW w:type="dxa" w:w="900"/>
            <w:tcMar>
              <w:top w:type="dxa" w:w="60"/>
              <w:left w:type="dxa" w:w="100"/>
              <w:bottom w:type="dxa" w:w="60"/>
              <w:right w:type="dxa" w:w="100"/>
            </w:tcMar>
          </w:tcPr>
          <w:p>
            <w:pPr>
              <w:jc w:val="left"/>
            </w:pPr>
            <w:r>
              <w:rPr>
                <w:b w:val="false"/>
                <w:bCs w:val="false"/>
              </w:rPr>
              <w:t xml:space="preserve">E2</w:t>
            </w:r>
          </w:p>
        </w:tc>
        <w:tc>
          <w:tcPr>
            <w:tcW w:type="dxa" w:w="3300"/>
            <w:tcMar>
              <w:top w:type="dxa" w:w="60"/>
              <w:left w:type="dxa" w:w="100"/>
              <w:bottom w:type="dxa" w:w="60"/>
              <w:right w:type="dxa" w:w="100"/>
            </w:tcMar>
          </w:tcPr>
          <w:p>
            <w:pPr>
              <w:jc w:val="left"/>
            </w:pPr>
            <w:r>
              <w:rPr>
                <w:b w:val="false"/>
                <w:bCs w:val="false"/>
              </w:rPr>
              <w:t xml:space="preserve">Configure the MAVROS node to connect to the PX4 SITL UDP endpoint</w:t>
            </w:r>
          </w:p>
        </w:tc>
        <w:tc>
          <w:tcPr>
            <w:tcW w:type="dxa" w:w="1500"/>
            <w:tcMar>
              <w:top w:type="dxa" w:w="60"/>
              <w:left w:type="dxa" w:w="100"/>
              <w:bottom w:type="dxa" w:w="60"/>
              <w:right w:type="dxa" w:w="100"/>
            </w:tcMar>
          </w:tcPr>
          <w:p>
            <w:pPr>
              <w:jc w:val="left"/>
            </w:pPr>
            <w:r>
              <w:rPr>
                <w:b w:val="false"/>
                <w:bCs w:val="false"/>
              </w:rPr>
              <w:t xml:space="preserve">E1, D3</w:t>
            </w:r>
          </w:p>
        </w:tc>
        <w:tc>
          <w:tcPr>
            <w:tcW w:type="dxa" w:w="4000"/>
            <w:tcMar>
              <w:top w:type="dxa" w:w="60"/>
              <w:left w:type="dxa" w:w="100"/>
              <w:bottom w:type="dxa" w:w="60"/>
              <w:right w:type="dxa" w:w="100"/>
            </w:tcMar>
          </w:tcPr>
          <w:p>
            <w:pPr>
              <w:jc w:val="left"/>
            </w:pPr>
            <w:r>
              <w:rPr>
                <w:b w:val="false"/>
                <w:bCs w:val="false"/>
              </w:rPr>
              <w:t xml:space="preserve">MAVROS reports FCU connected</w:t>
            </w:r>
          </w:p>
        </w:tc>
      </w:tr>
      <w:tr>
        <w:tc>
          <w:tcPr>
            <w:tcW w:type="dxa" w:w="900"/>
            <w:tcMar>
              <w:top w:type="dxa" w:w="60"/>
              <w:left w:type="dxa" w:w="100"/>
              <w:bottom w:type="dxa" w:w="60"/>
              <w:right w:type="dxa" w:w="100"/>
            </w:tcMar>
          </w:tcPr>
          <w:p>
            <w:pPr>
              <w:jc w:val="left"/>
            </w:pPr>
            <w:r>
              <w:rPr>
                <w:b w:val="false"/>
                <w:bCs w:val="false"/>
              </w:rPr>
              <w:t xml:space="preserve">E3</w:t>
            </w:r>
          </w:p>
        </w:tc>
        <w:tc>
          <w:tcPr>
            <w:tcW w:type="dxa" w:w="3300"/>
            <w:tcMar>
              <w:top w:type="dxa" w:w="60"/>
              <w:left w:type="dxa" w:w="100"/>
              <w:bottom w:type="dxa" w:w="60"/>
              <w:right w:type="dxa" w:w="100"/>
            </w:tcMar>
          </w:tcPr>
          <w:p>
            <w:pPr>
              <w:jc w:val="left"/>
            </w:pPr>
            <w:r>
              <w:rPr>
                <w:b w:val="false"/>
                <w:bCs w:val="false"/>
              </w:rPr>
              <w:t xml:space="preserve">Verify /mavros/state and /mavros/local_position/pose populate correctly</w:t>
            </w:r>
          </w:p>
        </w:tc>
        <w:tc>
          <w:tcPr>
            <w:tcW w:type="dxa" w:w="1500"/>
            <w:tcMar>
              <w:top w:type="dxa" w:w="60"/>
              <w:left w:type="dxa" w:w="100"/>
              <w:bottom w:type="dxa" w:w="60"/>
              <w:right w:type="dxa" w:w="100"/>
            </w:tcMar>
          </w:tcPr>
          <w:p>
            <w:pPr>
              <w:jc w:val="left"/>
            </w:pPr>
            <w:r>
              <w:rPr>
                <w:b w:val="false"/>
                <w:bCs w:val="false"/>
              </w:rPr>
              <w:t xml:space="preserve">E2</w:t>
            </w:r>
          </w:p>
        </w:tc>
        <w:tc>
          <w:tcPr>
            <w:tcW w:type="dxa" w:w="4000"/>
            <w:tcMar>
              <w:top w:type="dxa" w:w="60"/>
              <w:left w:type="dxa" w:w="100"/>
              <w:bottom w:type="dxa" w:w="60"/>
              <w:right w:type="dxa" w:w="100"/>
            </w:tcMar>
          </w:tcPr>
          <w:p>
            <w:pPr>
              <w:jc w:val="left"/>
            </w:pPr>
            <w:r>
              <w:rPr>
                <w:b w:val="false"/>
                <w:bCs w:val="false"/>
              </w:rPr>
              <w:t xml:space="preserve">Topics publish at expected rate with sane values (matches Gazebo pose)</w:t>
            </w:r>
          </w:p>
        </w:tc>
      </w:tr>
      <w:tr>
        <w:tc>
          <w:tcPr>
            <w:tcW w:type="dxa" w:w="900"/>
            <w:tcMar>
              <w:top w:type="dxa" w:w="60"/>
              <w:left w:type="dxa" w:w="100"/>
              <w:bottom w:type="dxa" w:w="60"/>
              <w:right w:type="dxa" w:w="100"/>
            </w:tcMar>
          </w:tcPr>
          <w:p>
            <w:pPr>
              <w:jc w:val="left"/>
            </w:pPr>
            <w:r>
              <w:rPr>
                <w:b w:val="false"/>
                <w:bCs w:val="false"/>
              </w:rPr>
              <w:t xml:space="preserve">E4</w:t>
            </w:r>
          </w:p>
        </w:tc>
        <w:tc>
          <w:tcPr>
            <w:tcW w:type="dxa" w:w="3300"/>
            <w:tcMar>
              <w:top w:type="dxa" w:w="60"/>
              <w:left w:type="dxa" w:w="100"/>
              <w:bottom w:type="dxa" w:w="60"/>
              <w:right w:type="dxa" w:w="100"/>
            </w:tcMar>
          </w:tcPr>
          <w:p>
            <w:pPr>
              <w:jc w:val="left"/>
            </w:pPr>
            <w:r>
              <w:rPr>
                <w:b w:val="false"/>
                <w:bCs w:val="false"/>
              </w:rPr>
              <w:t xml:space="preserve">Send an arm / takeoff / velocity command from ROS2 CLI or a test script and confirm the drone responds in Gazebo</w:t>
            </w:r>
          </w:p>
        </w:tc>
        <w:tc>
          <w:tcPr>
            <w:tcW w:type="dxa" w:w="1500"/>
            <w:tcMar>
              <w:top w:type="dxa" w:w="60"/>
              <w:left w:type="dxa" w:w="100"/>
              <w:bottom w:type="dxa" w:w="60"/>
              <w:right w:type="dxa" w:w="100"/>
            </w:tcMar>
          </w:tcPr>
          <w:p>
            <w:pPr>
              <w:jc w:val="left"/>
            </w:pPr>
            <w:r>
              <w:rPr>
                <w:b w:val="false"/>
                <w:bCs w:val="false"/>
              </w:rPr>
              <w:t xml:space="preserve">E3</w:t>
            </w:r>
          </w:p>
        </w:tc>
        <w:tc>
          <w:tcPr>
            <w:tcW w:type="dxa" w:w="4000"/>
            <w:tcMar>
              <w:top w:type="dxa" w:w="60"/>
              <w:left w:type="dxa" w:w="100"/>
              <w:bottom w:type="dxa" w:w="60"/>
              <w:right w:type="dxa" w:w="100"/>
            </w:tcMar>
          </w:tcPr>
          <w:p>
            <w:pPr>
              <w:jc w:val="left"/>
            </w:pPr>
            <w:r>
              <w:rPr>
                <w:b w:val="false"/>
                <w:bCs w:val="false"/>
              </w:rPr>
              <w:t xml:space="preserve">PHASE 1 EXIT CRITERION — commanded motion is visible in the simulation</w:t>
            </w:r>
          </w:p>
        </w:tc>
      </w:tr>
    </w:tbl>
    <w:p>
      <w:pPr>
        <w:spacing w:after="200"/>
      </w:pPr>
    </w:p>
    <w:p>
      <w:pPr>
        <w:pStyle w:val="Heading2"/>
        <w:spacing w:after="120" w:before="240"/>
      </w:pPr>
      <w:r>
        <w:t xml:space="preserve">WP-F. Physics fidelity pass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00"/>
        <w:gridCol w:w="4000"/>
      </w:tblGrid>
      <w:tr>
        <w:trPr>
          <w:tblHeader/>
        </w:trPr>
        <w:tc>
          <w:tcPr>
            <w:tcW w:type="dxa" w:w="900"/>
            <w:shd w:fill="D9E2F3" w:color="auto" w:val="clear"/>
            <w:tcMar>
              <w:top w:type="dxa" w:w="60"/>
              <w:left w:type="dxa" w:w="100"/>
              <w:bottom w:type="dxa" w:w="60"/>
              <w:right w:type="dxa" w:w="100"/>
            </w:tcMar>
          </w:tcPr>
          <w:p>
            <w:pPr>
              <w:jc w:val="left"/>
            </w:pPr>
            <w:r>
              <w:rPr>
                <w:b/>
                <w:bCs/>
              </w:rPr>
              <w:t xml:space="preserve">ID</w:t>
            </w:r>
          </w:p>
        </w:tc>
        <w:tc>
          <w:tcPr>
            <w:tcW w:type="dxa" w:w="3300"/>
            <w:shd w:fill="D9E2F3" w:color="auto" w:val="clear"/>
            <w:tcMar>
              <w:top w:type="dxa" w:w="60"/>
              <w:left w:type="dxa" w:w="100"/>
              <w:bottom w:type="dxa" w:w="60"/>
              <w:right w:type="dxa" w:w="100"/>
            </w:tcMar>
          </w:tcPr>
          <w:p>
            <w:pPr>
              <w:jc w:val="left"/>
            </w:pPr>
            <w:r>
              <w:rPr>
                <w:b/>
                <w:bCs/>
              </w:rPr>
              <w:t xml:space="preserve">Task</w:t>
            </w:r>
          </w:p>
        </w:tc>
        <w:tc>
          <w:tcPr>
            <w:tcW w:type="dxa" w:w="1500"/>
            <w:shd w:fill="D9E2F3" w:color="auto" w:val="clear"/>
            <w:tcMar>
              <w:top w:type="dxa" w:w="60"/>
              <w:left w:type="dxa" w:w="100"/>
              <w:bottom w:type="dxa" w:w="60"/>
              <w:right w:type="dxa" w:w="100"/>
            </w:tcMar>
          </w:tcPr>
          <w:p>
            <w:pPr>
              <w:jc w:val="left"/>
            </w:pPr>
            <w:r>
              <w:rPr>
                <w:b/>
                <w:bCs/>
              </w:rPr>
              <w:t xml:space="preserve">Depends on</w:t>
            </w:r>
          </w:p>
        </w:tc>
        <w:tc>
          <w:tcPr>
            <w:tcW w:type="dxa" w:w="4000"/>
            <w:shd w:fill="D9E2F3" w:color="auto" w:val="clear"/>
            <w:tcMar>
              <w:top w:type="dxa" w:w="60"/>
              <w:left w:type="dxa" w:w="100"/>
              <w:bottom w:type="dxa" w:w="60"/>
              <w:right w:type="dxa" w:w="100"/>
            </w:tcMar>
          </w:tcPr>
          <w:p>
            <w:pPr>
              <w:jc w:val="left"/>
            </w:pPr>
            <w:r>
              <w:rPr>
                <w:b/>
                <w:bCs/>
              </w:rPr>
              <w:t xml:space="preserve">Acceptance criteria</w:t>
            </w:r>
          </w:p>
        </w:tc>
      </w:tr>
      <w:tr>
        <w:tc>
          <w:tcPr>
            <w:tcW w:type="dxa" w:w="900"/>
            <w:tcMar>
              <w:top w:type="dxa" w:w="60"/>
              <w:left w:type="dxa" w:w="100"/>
              <w:bottom w:type="dxa" w:w="60"/>
              <w:right w:type="dxa" w:w="100"/>
            </w:tcMar>
          </w:tcPr>
          <w:p>
            <w:pPr>
              <w:jc w:val="left"/>
            </w:pPr>
            <w:r>
              <w:rPr>
                <w:b w:val="false"/>
                <w:bCs w:val="false"/>
              </w:rPr>
              <w:t xml:space="preserve">F1</w:t>
            </w:r>
          </w:p>
        </w:tc>
        <w:tc>
          <w:tcPr>
            <w:tcW w:type="dxa" w:w="3300"/>
            <w:tcMar>
              <w:top w:type="dxa" w:w="60"/>
              <w:left w:type="dxa" w:w="100"/>
              <w:bottom w:type="dxa" w:w="60"/>
              <w:right w:type="dxa" w:w="100"/>
            </w:tcMar>
          </w:tcPr>
          <w:p>
            <w:pPr>
              <w:jc w:val="left"/>
            </w:pPr>
            <w:r>
              <w:rPr>
                <w:b w:val="false"/>
                <w:bCs w:val="false"/>
              </w:rPr>
              <w:t xml:space="preserve">Review the default x500 SDF parameters (mass, inertia tensor, motor thrust/torque curves) against a reference drone spec</w:t>
            </w:r>
          </w:p>
        </w:tc>
        <w:tc>
          <w:tcPr>
            <w:tcW w:type="dxa" w:w="1500"/>
            <w:tcMar>
              <w:top w:type="dxa" w:w="60"/>
              <w:left w:type="dxa" w:w="100"/>
              <w:bottom w:type="dxa" w:w="60"/>
              <w:right w:type="dxa" w:w="100"/>
            </w:tcMar>
          </w:tcPr>
          <w:p>
            <w:pPr>
              <w:jc w:val="left"/>
            </w:pPr>
            <w:r>
              <w:rPr>
                <w:b w:val="false"/>
                <w:bCs w:val="false"/>
              </w:rPr>
              <w:t xml:space="preserve">D2</w:t>
            </w:r>
          </w:p>
        </w:tc>
        <w:tc>
          <w:tcPr>
            <w:tcW w:type="dxa" w:w="4000"/>
            <w:tcMar>
              <w:top w:type="dxa" w:w="60"/>
              <w:left w:type="dxa" w:w="100"/>
              <w:bottom w:type="dxa" w:w="60"/>
              <w:right w:type="dxa" w:w="100"/>
            </w:tcMar>
          </w:tcPr>
          <w:p>
            <w:pPr>
              <w:jc w:val="left"/>
            </w:pPr>
            <w:r>
              <w:rPr>
                <w:b w:val="false"/>
                <w:bCs w:val="false"/>
              </w:rPr>
              <w:t xml:space="preserve">Parameter table documented against a named reference airframe</w:t>
            </w:r>
          </w:p>
        </w:tc>
      </w:tr>
      <w:tr>
        <w:tc>
          <w:tcPr>
            <w:tcW w:type="dxa" w:w="900"/>
            <w:tcMar>
              <w:top w:type="dxa" w:w="60"/>
              <w:left w:type="dxa" w:w="100"/>
              <w:bottom w:type="dxa" w:w="60"/>
              <w:right w:type="dxa" w:w="100"/>
            </w:tcMar>
          </w:tcPr>
          <w:p>
            <w:pPr>
              <w:jc w:val="left"/>
            </w:pPr>
            <w:r>
              <w:rPr>
                <w:b w:val="false"/>
                <w:bCs w:val="false"/>
              </w:rPr>
              <w:t xml:space="preserve">F2</w:t>
            </w:r>
          </w:p>
        </w:tc>
        <w:tc>
          <w:tcPr>
            <w:tcW w:type="dxa" w:w="3300"/>
            <w:tcMar>
              <w:top w:type="dxa" w:w="60"/>
              <w:left w:type="dxa" w:w="100"/>
              <w:bottom w:type="dxa" w:w="60"/>
              <w:right w:type="dxa" w:w="100"/>
            </w:tcMar>
          </w:tcPr>
          <w:p>
            <w:pPr>
              <w:jc w:val="left"/>
            </w:pPr>
            <w:r>
              <w:rPr>
                <w:b w:val="false"/>
                <w:bCs w:val="false"/>
              </w:rPr>
              <w:t xml:space="preserve">Adjust SDF/airframe parameters where they deviate materially from the reference drone</w:t>
            </w:r>
          </w:p>
        </w:tc>
        <w:tc>
          <w:tcPr>
            <w:tcW w:type="dxa" w:w="1500"/>
            <w:tcMar>
              <w:top w:type="dxa" w:w="60"/>
              <w:left w:type="dxa" w:w="100"/>
              <w:bottom w:type="dxa" w:w="60"/>
              <w:right w:type="dxa" w:w="100"/>
            </w:tcMar>
          </w:tcPr>
          <w:p>
            <w:pPr>
              <w:jc w:val="left"/>
            </w:pPr>
            <w:r>
              <w:rPr>
                <w:b w:val="false"/>
                <w:bCs w:val="false"/>
              </w:rPr>
              <w:t xml:space="preserve">F1; reference drone decision</w:t>
            </w:r>
          </w:p>
        </w:tc>
        <w:tc>
          <w:tcPr>
            <w:tcW w:type="dxa" w:w="4000"/>
            <w:tcMar>
              <w:top w:type="dxa" w:w="60"/>
              <w:left w:type="dxa" w:w="100"/>
              <w:bottom w:type="dxa" w:w="60"/>
              <w:right w:type="dxa" w:w="100"/>
            </w:tcMar>
          </w:tcPr>
          <w:p>
            <w:pPr>
              <w:jc w:val="left"/>
            </w:pPr>
            <w:r>
              <w:rPr>
                <w:b w:val="false"/>
                <w:bCs w:val="false"/>
              </w:rPr>
              <w:t xml:space="preserve">Updated SDF checked in; diff from stock x500 documented</w:t>
            </w:r>
          </w:p>
        </w:tc>
      </w:tr>
      <w:tr>
        <w:tc>
          <w:tcPr>
            <w:tcW w:type="dxa" w:w="900"/>
            <w:tcMar>
              <w:top w:type="dxa" w:w="60"/>
              <w:left w:type="dxa" w:w="100"/>
              <w:bottom w:type="dxa" w:w="60"/>
              <w:right w:type="dxa" w:w="100"/>
            </w:tcMar>
          </w:tcPr>
          <w:p>
            <w:pPr>
              <w:jc w:val="left"/>
            </w:pPr>
            <w:r>
              <w:rPr>
                <w:b w:val="false"/>
                <w:bCs w:val="false"/>
              </w:rPr>
              <w:t xml:space="preserve">F3</w:t>
            </w:r>
          </w:p>
        </w:tc>
        <w:tc>
          <w:tcPr>
            <w:tcW w:type="dxa" w:w="3300"/>
            <w:tcMar>
              <w:top w:type="dxa" w:w="60"/>
              <w:left w:type="dxa" w:w="100"/>
              <w:bottom w:type="dxa" w:w="60"/>
              <w:right w:type="dxa" w:w="100"/>
            </w:tcMar>
          </w:tcPr>
          <w:p>
            <w:pPr>
              <w:jc w:val="left"/>
            </w:pPr>
            <w:r>
              <w:rPr>
                <w:b w:val="false"/>
                <w:bCs w:val="false"/>
              </w:rPr>
              <w:t xml:space="preserve">Run basic flight-dynamics sanity checks: stable hover, step-response to a velocity command, no divergence</w:t>
            </w:r>
          </w:p>
        </w:tc>
        <w:tc>
          <w:tcPr>
            <w:tcW w:type="dxa" w:w="1500"/>
            <w:tcMar>
              <w:top w:type="dxa" w:w="60"/>
              <w:left w:type="dxa" w:w="100"/>
              <w:bottom w:type="dxa" w:w="60"/>
              <w:right w:type="dxa" w:w="100"/>
            </w:tcMar>
          </w:tcPr>
          <w:p>
            <w:pPr>
              <w:jc w:val="left"/>
            </w:pPr>
            <w:r>
              <w:rPr>
                <w:b w:val="false"/>
                <w:bCs w:val="false"/>
              </w:rPr>
              <w:t xml:space="preserve">D3/E4</w:t>
            </w:r>
          </w:p>
        </w:tc>
        <w:tc>
          <w:tcPr>
            <w:tcW w:type="dxa" w:w="4000"/>
            <w:tcMar>
              <w:top w:type="dxa" w:w="60"/>
              <w:left w:type="dxa" w:w="100"/>
              <w:bottom w:type="dxa" w:w="60"/>
              <w:right w:type="dxa" w:w="100"/>
            </w:tcMar>
          </w:tcPr>
          <w:p>
            <w:pPr>
              <w:jc w:val="left"/>
            </w:pPr>
            <w:r>
              <w:rPr>
                <w:b w:val="false"/>
                <w:bCs w:val="false"/>
              </w:rPr>
              <w:t xml:space="preserve">Hover holds position within a defined tolerance; step response is bounded and settles</w:t>
            </w:r>
          </w:p>
        </w:tc>
      </w:tr>
      <w:tr>
        <w:tc>
          <w:tcPr>
            <w:tcW w:type="dxa" w:w="900"/>
            <w:tcMar>
              <w:top w:type="dxa" w:w="60"/>
              <w:left w:type="dxa" w:w="100"/>
              <w:bottom w:type="dxa" w:w="60"/>
              <w:right w:type="dxa" w:w="100"/>
            </w:tcMar>
          </w:tcPr>
          <w:p>
            <w:pPr>
              <w:jc w:val="left"/>
            </w:pPr>
            <w:r>
              <w:rPr>
                <w:b w:val="false"/>
                <w:bCs w:val="false"/>
              </w:rPr>
              <w:t xml:space="preserve">F4</w:t>
            </w:r>
          </w:p>
        </w:tc>
        <w:tc>
          <w:tcPr>
            <w:tcW w:type="dxa" w:w="3300"/>
            <w:tcMar>
              <w:top w:type="dxa" w:w="60"/>
              <w:left w:type="dxa" w:w="100"/>
              <w:bottom w:type="dxa" w:w="60"/>
              <w:right w:type="dxa" w:w="100"/>
            </w:tcMar>
          </w:tcPr>
          <w:p>
            <w:pPr>
              <w:jc w:val="left"/>
            </w:pPr>
            <w:r>
              <w:rPr>
                <w:b w:val="false"/>
                <w:bCs w:val="false"/>
              </w:rPr>
              <w:t xml:space="preserve">Document known physics simplifications (e.g. no wind model yet, approximated rotor drag)</w:t>
            </w:r>
          </w:p>
        </w:tc>
        <w:tc>
          <w:tcPr>
            <w:tcW w:type="dxa" w:w="1500"/>
            <w:tcMar>
              <w:top w:type="dxa" w:w="60"/>
              <w:left w:type="dxa" w:w="100"/>
              <w:bottom w:type="dxa" w:w="60"/>
              <w:right w:type="dxa" w:w="100"/>
            </w:tcMar>
          </w:tcPr>
          <w:p>
            <w:pPr>
              <w:jc w:val="left"/>
            </w:pPr>
            <w:r>
              <w:rPr>
                <w:b w:val="false"/>
                <w:bCs w:val="false"/>
              </w:rPr>
              <w:t xml:space="preserve">F1–F3</w:t>
            </w:r>
          </w:p>
        </w:tc>
        <w:tc>
          <w:tcPr>
            <w:tcW w:type="dxa" w:w="4000"/>
            <w:tcMar>
              <w:top w:type="dxa" w:w="60"/>
              <w:left w:type="dxa" w:w="100"/>
              <w:bottom w:type="dxa" w:w="60"/>
              <w:right w:type="dxa" w:w="100"/>
            </w:tcMar>
          </w:tcPr>
          <w:p>
            <w:pPr>
              <w:jc w:val="left"/>
            </w:pPr>
            <w:r>
              <w:rPr>
                <w:b w:val="false"/>
                <w:bCs w:val="false"/>
              </w:rPr>
              <w:t xml:space="preserve">A short "physics assumptions" note exists in the repo for later reference</w:t>
            </w:r>
          </w:p>
        </w:tc>
      </w:tr>
      <w:tr>
        <w:tc>
          <w:tcPr>
            <w:tcW w:type="dxa" w:w="900"/>
            <w:tcMar>
              <w:top w:type="dxa" w:w="60"/>
              <w:left w:type="dxa" w:w="100"/>
              <w:bottom w:type="dxa" w:w="60"/>
              <w:right w:type="dxa" w:w="100"/>
            </w:tcMar>
          </w:tcPr>
          <w:p>
            <w:pPr>
              <w:jc w:val="left"/>
            </w:pPr>
            <w:r>
              <w:rPr>
                <w:b w:val="false"/>
                <w:bCs w:val="false"/>
              </w:rPr>
              <w:t xml:space="preserve">F5</w:t>
            </w:r>
          </w:p>
        </w:tc>
        <w:tc>
          <w:tcPr>
            <w:tcW w:type="dxa" w:w="3300"/>
            <w:tcMar>
              <w:top w:type="dxa" w:w="60"/>
              <w:left w:type="dxa" w:w="100"/>
              <w:bottom w:type="dxa" w:w="60"/>
              <w:right w:type="dxa" w:w="100"/>
            </w:tcMar>
          </w:tcPr>
          <w:p>
            <w:pPr>
              <w:jc w:val="left"/>
            </w:pPr>
            <w:r>
              <w:rPr>
                <w:b w:val="false"/>
                <w:bCs w:val="false"/>
              </w:rPr>
              <w:t xml:space="preserve">Confirm manual control (E4) also works against the headless launch (gz sim -s -r) used for training, not just the GUI launch</w:t>
            </w:r>
          </w:p>
        </w:tc>
        <w:tc>
          <w:tcPr>
            <w:tcW w:type="dxa" w:w="1500"/>
            <w:tcMar>
              <w:top w:type="dxa" w:w="60"/>
              <w:left w:type="dxa" w:w="100"/>
              <w:bottom w:type="dxa" w:w="60"/>
              <w:right w:type="dxa" w:w="100"/>
            </w:tcMar>
          </w:tcPr>
          <w:p>
            <w:pPr>
              <w:jc w:val="left"/>
            </w:pPr>
            <w:r>
              <w:rPr>
                <w:b w:val="false"/>
                <w:bCs w:val="false"/>
              </w:rPr>
              <w:t xml:space="preserve">E4, A5</w:t>
            </w:r>
          </w:p>
        </w:tc>
        <w:tc>
          <w:tcPr>
            <w:tcW w:type="dxa" w:w="4000"/>
            <w:tcMar>
              <w:top w:type="dxa" w:w="60"/>
              <w:left w:type="dxa" w:w="100"/>
              <w:bottom w:type="dxa" w:w="60"/>
              <w:right w:type="dxa" w:w="100"/>
            </w:tcMar>
          </w:tcPr>
          <w:p>
            <w:pPr>
              <w:jc w:val="left"/>
            </w:pPr>
            <w:r>
              <w:rPr>
                <w:b w:val="false"/>
                <w:bCs w:val="false"/>
              </w:rPr>
              <w:t xml:space="preserve">Arm/takeoff/velocity command succeeds identically with no GUI attached</w:t>
            </w:r>
          </w:p>
        </w:tc>
      </w:tr>
    </w:tbl>
    <w:p>
      <w:pPr>
        <w:spacing w:after="200"/>
      </w:pPr>
    </w:p>
    <w:p>
      <w:pPr>
        <w:pStyle w:val="Heading2"/>
        <w:spacing w:after="120" w:before="240"/>
      </w:pPr>
      <w:r>
        <w:t xml:space="preserve">WP-G. Documentation &amp; repo scaffolding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00"/>
        <w:gridCol w:w="4000"/>
      </w:tblGrid>
      <w:tr>
        <w:trPr>
          <w:tblHeader/>
        </w:trPr>
        <w:tc>
          <w:tcPr>
            <w:tcW w:type="dxa" w:w="900"/>
            <w:shd w:fill="D9E2F3" w:color="auto" w:val="clear"/>
            <w:tcMar>
              <w:top w:type="dxa" w:w="60"/>
              <w:left w:type="dxa" w:w="100"/>
              <w:bottom w:type="dxa" w:w="60"/>
              <w:right w:type="dxa" w:w="100"/>
            </w:tcMar>
          </w:tcPr>
          <w:p>
            <w:pPr>
              <w:jc w:val="left"/>
            </w:pPr>
            <w:r>
              <w:rPr>
                <w:b/>
                <w:bCs/>
              </w:rPr>
              <w:t xml:space="preserve">ID</w:t>
            </w:r>
          </w:p>
        </w:tc>
        <w:tc>
          <w:tcPr>
            <w:tcW w:type="dxa" w:w="3300"/>
            <w:shd w:fill="D9E2F3" w:color="auto" w:val="clear"/>
            <w:tcMar>
              <w:top w:type="dxa" w:w="60"/>
              <w:left w:type="dxa" w:w="100"/>
              <w:bottom w:type="dxa" w:w="60"/>
              <w:right w:type="dxa" w:w="100"/>
            </w:tcMar>
          </w:tcPr>
          <w:p>
            <w:pPr>
              <w:jc w:val="left"/>
            </w:pPr>
            <w:r>
              <w:rPr>
                <w:b/>
                <w:bCs/>
              </w:rPr>
              <w:t xml:space="preserve">Task</w:t>
            </w:r>
          </w:p>
        </w:tc>
        <w:tc>
          <w:tcPr>
            <w:tcW w:type="dxa" w:w="1500"/>
            <w:shd w:fill="D9E2F3" w:color="auto" w:val="clear"/>
            <w:tcMar>
              <w:top w:type="dxa" w:w="60"/>
              <w:left w:type="dxa" w:w="100"/>
              <w:bottom w:type="dxa" w:w="60"/>
              <w:right w:type="dxa" w:w="100"/>
            </w:tcMar>
          </w:tcPr>
          <w:p>
            <w:pPr>
              <w:jc w:val="left"/>
            </w:pPr>
            <w:r>
              <w:rPr>
                <w:b/>
                <w:bCs/>
              </w:rPr>
              <w:t xml:space="preserve">Depends on</w:t>
            </w:r>
          </w:p>
        </w:tc>
        <w:tc>
          <w:tcPr>
            <w:tcW w:type="dxa" w:w="4000"/>
            <w:shd w:fill="D9E2F3" w:color="auto" w:val="clear"/>
            <w:tcMar>
              <w:top w:type="dxa" w:w="60"/>
              <w:left w:type="dxa" w:w="100"/>
              <w:bottom w:type="dxa" w:w="60"/>
              <w:right w:type="dxa" w:w="100"/>
            </w:tcMar>
          </w:tcPr>
          <w:p>
            <w:pPr>
              <w:jc w:val="left"/>
            </w:pPr>
            <w:r>
              <w:rPr>
                <w:b/>
                <w:bCs/>
              </w:rPr>
              <w:t xml:space="preserve">Acceptance criteria</w:t>
            </w:r>
          </w:p>
        </w:tc>
      </w:tr>
      <w:tr>
        <w:tc>
          <w:tcPr>
            <w:tcW w:type="dxa" w:w="900"/>
            <w:tcMar>
              <w:top w:type="dxa" w:w="60"/>
              <w:left w:type="dxa" w:w="100"/>
              <w:bottom w:type="dxa" w:w="60"/>
              <w:right w:type="dxa" w:w="100"/>
            </w:tcMar>
          </w:tcPr>
          <w:p>
            <w:pPr>
              <w:jc w:val="left"/>
            </w:pPr>
            <w:r>
              <w:rPr>
                <w:b w:val="false"/>
                <w:bCs w:val="false"/>
              </w:rPr>
              <w:t xml:space="preserve">G1</w:t>
            </w:r>
          </w:p>
        </w:tc>
        <w:tc>
          <w:tcPr>
            <w:tcW w:type="dxa" w:w="3300"/>
            <w:tcMar>
              <w:top w:type="dxa" w:w="60"/>
              <w:left w:type="dxa" w:w="100"/>
              <w:bottom w:type="dxa" w:w="60"/>
              <w:right w:type="dxa" w:w="100"/>
            </w:tcMar>
          </w:tcPr>
          <w:p>
            <w:pPr>
              <w:jc w:val="left"/>
            </w:pPr>
            <w:r>
              <w:rPr>
                <w:b w:val="false"/>
                <w:bCs w:val="false"/>
              </w:rPr>
              <w:t xml:space="preserve">Write a workspace README covering install/build/run steps end to end</w:t>
            </w:r>
          </w:p>
        </w:tc>
        <w:tc>
          <w:tcPr>
            <w:tcW w:type="dxa" w:w="1500"/>
            <w:tcMar>
              <w:top w:type="dxa" w:w="60"/>
              <w:left w:type="dxa" w:w="100"/>
              <w:bottom w:type="dxa" w:w="60"/>
              <w:right w:type="dxa" w:w="100"/>
            </w:tcMar>
          </w:tcPr>
          <w:p>
            <w:pPr>
              <w:jc w:val="left"/>
            </w:pPr>
            <w:r>
              <w:rPr>
                <w:b w:val="false"/>
                <w:bCs w:val="false"/>
              </w:rPr>
              <w:t xml:space="preserve">B–E complete</w:t>
            </w:r>
          </w:p>
        </w:tc>
        <w:tc>
          <w:tcPr>
            <w:tcW w:type="dxa" w:w="4000"/>
            <w:tcMar>
              <w:top w:type="dxa" w:w="60"/>
              <w:left w:type="dxa" w:w="100"/>
              <w:bottom w:type="dxa" w:w="60"/>
              <w:right w:type="dxa" w:w="100"/>
            </w:tcMar>
          </w:tcPr>
          <w:p>
            <w:pPr>
              <w:jc w:val="left"/>
            </w:pPr>
            <w:r>
              <w:rPr>
                <w:b w:val="false"/>
                <w:bCs w:val="false"/>
              </w:rPr>
              <w:t xml:space="preserve">A fresh clone can follow the README to reproduce the running demo</w:t>
            </w:r>
          </w:p>
        </w:tc>
      </w:tr>
      <w:tr>
        <w:tc>
          <w:tcPr>
            <w:tcW w:type="dxa" w:w="900"/>
            <w:tcMar>
              <w:top w:type="dxa" w:w="60"/>
              <w:left w:type="dxa" w:w="100"/>
              <w:bottom w:type="dxa" w:w="60"/>
              <w:right w:type="dxa" w:w="100"/>
            </w:tcMar>
          </w:tcPr>
          <w:p>
            <w:pPr>
              <w:jc w:val="left"/>
            </w:pPr>
            <w:r>
              <w:rPr>
                <w:b w:val="false"/>
                <w:bCs w:val="false"/>
              </w:rPr>
              <w:t xml:space="preserve">G2</w:t>
            </w:r>
          </w:p>
        </w:tc>
        <w:tc>
          <w:tcPr>
            <w:tcW w:type="dxa" w:w="3300"/>
            <w:tcMar>
              <w:top w:type="dxa" w:w="60"/>
              <w:left w:type="dxa" w:w="100"/>
              <w:bottom w:type="dxa" w:w="60"/>
              <w:right w:type="dxa" w:w="100"/>
            </w:tcMar>
          </w:tcPr>
          <w:p>
            <w:pPr>
              <w:jc w:val="left"/>
            </w:pPr>
            <w:r>
              <w:rPr>
                <w:b w:val="false"/>
                <w:bCs w:val="false"/>
              </w:rPr>
              <w:t xml:space="preserve">Capture the environment as a reproducible script or devcontainer/Dockerfile</w:t>
            </w:r>
          </w:p>
        </w:tc>
        <w:tc>
          <w:tcPr>
            <w:tcW w:type="dxa" w:w="1500"/>
            <w:tcMar>
              <w:top w:type="dxa" w:w="60"/>
              <w:left w:type="dxa" w:w="100"/>
              <w:bottom w:type="dxa" w:w="60"/>
              <w:right w:type="dxa" w:w="100"/>
            </w:tcMar>
          </w:tcPr>
          <w:p>
            <w:pPr>
              <w:jc w:val="left"/>
            </w:pPr>
            <w:r>
              <w:rPr>
                <w:b w:val="false"/>
                <w:bCs w:val="false"/>
              </w:rPr>
              <w:t xml:space="preserve">G1</w:t>
            </w:r>
          </w:p>
        </w:tc>
        <w:tc>
          <w:tcPr>
            <w:tcW w:type="dxa" w:w="4000"/>
            <w:tcMar>
              <w:top w:type="dxa" w:w="60"/>
              <w:left w:type="dxa" w:w="100"/>
              <w:bottom w:type="dxa" w:w="60"/>
              <w:right w:type="dxa" w:w="100"/>
            </w:tcMar>
          </w:tcPr>
          <w:p>
            <w:pPr>
              <w:jc w:val="left"/>
            </w:pPr>
            <w:r>
              <w:rPr>
                <w:b w:val="false"/>
                <w:bCs w:val="false"/>
              </w:rPr>
              <w:t xml:space="preserve">Setup can be re-run on a clean WSL2 instance without tribal knowledge</w:t>
            </w:r>
          </w:p>
        </w:tc>
      </w:tr>
      <w:tr>
        <w:tc>
          <w:tcPr>
            <w:tcW w:type="dxa" w:w="900"/>
            <w:tcMar>
              <w:top w:type="dxa" w:w="60"/>
              <w:left w:type="dxa" w:w="100"/>
              <w:bottom w:type="dxa" w:w="60"/>
              <w:right w:type="dxa" w:w="100"/>
            </w:tcMar>
          </w:tcPr>
          <w:p>
            <w:pPr>
              <w:jc w:val="left"/>
            </w:pPr>
            <w:r>
              <w:rPr>
                <w:b w:val="false"/>
                <w:bCs w:val="false"/>
              </w:rPr>
              <w:t xml:space="preserve">G3</w:t>
            </w:r>
          </w:p>
        </w:tc>
        <w:tc>
          <w:tcPr>
            <w:tcW w:type="dxa" w:w="3300"/>
            <w:tcMar>
              <w:top w:type="dxa" w:w="60"/>
              <w:left w:type="dxa" w:w="100"/>
              <w:bottom w:type="dxa" w:w="60"/>
              <w:right w:type="dxa" w:w="100"/>
            </w:tcMar>
          </w:tcPr>
          <w:p>
            <w:pPr>
              <w:jc w:val="left"/>
            </w:pPr>
            <w:r>
              <w:rPr>
                <w:b w:val="false"/>
                <w:bCs w:val="false"/>
              </w:rPr>
              <w:t xml:space="preserve">Tag a baseline checkpoint in git once E4 passes</w:t>
            </w:r>
          </w:p>
        </w:tc>
        <w:tc>
          <w:tcPr>
            <w:tcW w:type="dxa" w:w="1500"/>
            <w:tcMar>
              <w:top w:type="dxa" w:w="60"/>
              <w:left w:type="dxa" w:w="100"/>
              <w:bottom w:type="dxa" w:w="60"/>
              <w:right w:type="dxa" w:w="100"/>
            </w:tcMar>
          </w:tcPr>
          <w:p>
            <w:pPr>
              <w:jc w:val="left"/>
            </w:pPr>
            <w:r>
              <w:rPr>
                <w:b w:val="false"/>
                <w:bCs w:val="false"/>
              </w:rPr>
              <w:t xml:space="preserve">E4, G1, G2</w:t>
            </w:r>
          </w:p>
        </w:tc>
        <w:tc>
          <w:tcPr>
            <w:tcW w:type="dxa" w:w="4000"/>
            <w:tcMar>
              <w:top w:type="dxa" w:w="60"/>
              <w:left w:type="dxa" w:w="100"/>
              <w:bottom w:type="dxa" w:w="60"/>
              <w:right w:type="dxa" w:w="100"/>
            </w:tcMar>
          </w:tcPr>
          <w:p>
            <w:pPr>
              <w:jc w:val="left"/>
            </w:pPr>
            <w:r>
              <w:rPr>
                <w:b w:val="false"/>
                <w:bCs w:val="false"/>
              </w:rPr>
              <w:t xml:space="preserve">Tagged commit exists marking the Phase 1 exit criterion</w:t>
            </w:r>
          </w:p>
        </w:tc>
      </w:tr>
    </w:tbl>
    <w:p>
      <w:pPr>
        <w:spacing w:after="200"/>
      </w:pPr>
    </w:p>
    <w:p>
      <w:pPr>
        <w:pStyle w:val="Heading1"/>
        <w:spacing w:after="150" w:before="300"/>
      </w:pPr>
      <w:r>
        <w:t xml:space="preserve">6. Risks &amp; mitigations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800"/>
        <w:gridCol w:w="5900"/>
      </w:tblGrid>
      <w:tr>
        <w:trPr>
          <w:tblHeader/>
        </w:trPr>
        <w:tc>
          <w:tcPr>
            <w:tcW w:type="dxa" w:w="3800"/>
            <w:shd w:fill="D9E2F3" w:color="auto" w:val="clear"/>
            <w:tcMar>
              <w:top w:type="dxa" w:w="60"/>
              <w:left w:type="dxa" w:w="100"/>
              <w:bottom w:type="dxa" w:w="60"/>
              <w:right w:type="dxa" w:w="100"/>
            </w:tcMar>
          </w:tcPr>
          <w:p>
            <w:pPr>
              <w:jc w:val="left"/>
            </w:pPr>
            <w:r>
              <w:rPr>
                <w:b/>
                <w:bCs/>
              </w:rPr>
              <w:t xml:space="preserve">Risk</w:t>
            </w:r>
          </w:p>
        </w:tc>
        <w:tc>
          <w:tcPr>
            <w:tcW w:type="dxa" w:w="5900"/>
            <w:shd w:fill="D9E2F3" w:color="auto" w:val="clear"/>
            <w:tcMar>
              <w:top w:type="dxa" w:w="60"/>
              <w:left w:type="dxa" w:w="100"/>
              <w:bottom w:type="dxa" w:w="60"/>
              <w:right w:type="dxa" w:w="100"/>
            </w:tcMar>
          </w:tcPr>
          <w:p>
            <w:pPr>
              <w:jc w:val="left"/>
            </w:pPr>
            <w:r>
              <w:rPr>
                <w:b/>
                <w:bCs/>
              </w:rPr>
              <w:t xml:space="preserve">Mitigation</w:t>
            </w:r>
          </w:p>
        </w:tc>
      </w:tr>
      <w:tr>
        <w:tc>
          <w:tcPr>
            <w:tcW w:type="dxa" w:w="3800"/>
            <w:tcMar>
              <w:top w:type="dxa" w:w="60"/>
              <w:left w:type="dxa" w:w="100"/>
              <w:bottom w:type="dxa" w:w="60"/>
              <w:right w:type="dxa" w:w="100"/>
            </w:tcMar>
          </w:tcPr>
          <w:p>
            <w:pPr>
              <w:jc w:val="left"/>
            </w:pPr>
            <w:r>
              <w:rPr>
                <w:b w:val="false"/>
                <w:bCs w:val="false"/>
              </w:rPr>
              <w:t xml:space="preserve">WSL2 GPU passthrough is flaky for GUI rendering</w:t>
            </w:r>
          </w:p>
        </w:tc>
        <w:tc>
          <w:tcPr>
            <w:tcW w:type="dxa" w:w="5900"/>
            <w:tcMar>
              <w:top w:type="dxa" w:w="60"/>
              <w:left w:type="dxa" w:w="100"/>
              <w:bottom w:type="dxa" w:w="60"/>
              <w:right w:type="dxa" w:w="100"/>
            </w:tcMar>
          </w:tcPr>
          <w:p>
            <w:pPr>
              <w:jc w:val="left"/>
            </w:pPr>
            <w:r>
              <w:rPr>
                <w:b w:val="false"/>
                <w:bCs w:val="false"/>
              </w:rPr>
              <w:t xml:space="preserve">Validate in WP-A/A3–A5 before any further investment; fall back to headless Gazebo (gz sim -s, no GUI) plus RViz or recorded video if the GUI path fails</w:t>
            </w:r>
          </w:p>
        </w:tc>
      </w:tr>
      <w:tr>
        <w:tc>
          <w:tcPr>
            <w:tcW w:type="dxa" w:w="3800"/>
            <w:tcMar>
              <w:top w:type="dxa" w:w="60"/>
              <w:left w:type="dxa" w:w="100"/>
              <w:bottom w:type="dxa" w:w="60"/>
              <w:right w:type="dxa" w:w="100"/>
            </w:tcMar>
          </w:tcPr>
          <w:p>
            <w:pPr>
              <w:jc w:val="left"/>
            </w:pPr>
            <w:r>
              <w:rPr>
                <w:b w:val="false"/>
                <w:bCs w:val="false"/>
              </w:rPr>
              <w:t xml:space="preserve">PX4 / Gazebo / ROS2 version incompatibility</w:t>
            </w:r>
          </w:p>
        </w:tc>
        <w:tc>
          <w:tcPr>
            <w:tcW w:type="dxa" w:w="5900"/>
            <w:tcMar>
              <w:top w:type="dxa" w:w="60"/>
              <w:left w:type="dxa" w:w="100"/>
              <w:bottom w:type="dxa" w:w="60"/>
              <w:right w:type="dxa" w:w="100"/>
            </w:tcMar>
          </w:tcPr>
          <w:p>
            <w:pPr>
              <w:jc w:val="left"/>
            </w:pPr>
            <w:r>
              <w:rPr>
                <w:b w:val="false"/>
                <w:bCs w:val="false"/>
              </w:rPr>
              <w:t xml:space="preserve">Pin one tested combination (specific PX4 tag, Gazebo Harmonic, one ROS2 distro) and record it in the README rather than tracking "latest" on all three</w:t>
            </w:r>
          </w:p>
        </w:tc>
      </w:tr>
      <w:tr>
        <w:tc>
          <w:tcPr>
            <w:tcW w:type="dxa" w:w="3800"/>
            <w:tcMar>
              <w:top w:type="dxa" w:w="60"/>
              <w:left w:type="dxa" w:w="100"/>
              <w:bottom w:type="dxa" w:w="60"/>
              <w:right w:type="dxa" w:w="100"/>
            </w:tcMar>
          </w:tcPr>
          <w:p>
            <w:pPr>
              <w:jc w:val="left"/>
            </w:pPr>
            <w:r>
              <w:rPr>
                <w:b w:val="false"/>
                <w:bCs w:val="false"/>
              </w:rPr>
              <w:t xml:space="preserve">4 GB VRAM ceiling shared with later RL training (Phase 4) and the VLM (Phase 5)</w:t>
            </w:r>
          </w:p>
        </w:tc>
        <w:tc>
          <w:tcPr>
            <w:tcW w:type="dxa" w:w="5900"/>
            <w:tcMar>
              <w:top w:type="dxa" w:w="60"/>
              <w:left w:type="dxa" w:w="100"/>
              <w:bottom w:type="dxa" w:w="60"/>
              <w:right w:type="dxa" w:w="100"/>
            </w:tcMar>
          </w:tcPr>
          <w:p>
            <w:pPr>
              <w:jc w:val="left"/>
            </w:pPr>
            <w:r>
              <w:rPr>
                <w:b w:val="false"/>
                <w:bCs w:val="false"/>
              </w:rPr>
              <w:t xml:space="preserve">A5's benchmark is not just a Phase 1 nicety — it tells you how much headroom Gazebo alone leaves for the training phases that come later</w:t>
            </w:r>
          </w:p>
        </w:tc>
      </w:tr>
      <w:tr>
        <w:tc>
          <w:tcPr>
            <w:tcW w:type="dxa" w:w="3800"/>
            <w:tcMar>
              <w:top w:type="dxa" w:w="60"/>
              <w:left w:type="dxa" w:w="100"/>
              <w:bottom w:type="dxa" w:w="60"/>
              <w:right w:type="dxa" w:w="100"/>
            </w:tcMar>
          </w:tcPr>
          <w:p>
            <w:pPr>
              <w:jc w:val="left"/>
            </w:pPr>
            <w:r>
              <w:rPr>
                <w:b w:val="false"/>
                <w:bCs w:val="false"/>
              </w:rPr>
              <w:t xml:space="preserve">MAVROS vs. PX4's newer native uXRCE-DDS ROS2 bridge</w:t>
            </w:r>
          </w:p>
        </w:tc>
        <w:tc>
          <w:tcPr>
            <w:tcW w:type="dxa" w:w="5900"/>
            <w:tcMar>
              <w:top w:type="dxa" w:w="60"/>
              <w:left w:type="dxa" w:w="100"/>
              <w:bottom w:type="dxa" w:w="60"/>
              <w:right w:type="dxa" w:w="100"/>
            </w:tcMar>
          </w:tcPr>
          <w:p>
            <w:pPr>
              <w:jc w:val="left"/>
            </w:pPr>
            <w:r>
              <w:rPr>
                <w:b w:val="false"/>
                <w:bCs w:val="false"/>
              </w:rPr>
              <w:t xml:space="preserve">The original design doc specifies MAVROS; PX4's own docs now lean toward uXRCE-DDS as the ROS2-native path. Worth a deliberate confirm-or-switch decision now rather than discovering a dead end mid-Phase 5</w:t>
            </w:r>
          </w:p>
        </w:tc>
      </w:tr>
      <w:tr>
        <w:tc>
          <w:tcPr>
            <w:tcW w:type="dxa" w:w="3800"/>
            <w:tcMar>
              <w:top w:type="dxa" w:w="60"/>
              <w:left w:type="dxa" w:w="100"/>
              <w:bottom w:type="dxa" w:w="60"/>
              <w:right w:type="dxa" w:w="100"/>
            </w:tcMar>
          </w:tcPr>
          <w:p>
            <w:pPr>
              <w:jc w:val="left"/>
            </w:pPr>
            <w:r>
              <w:rPr>
                <w:b w:val="false"/>
                <w:bCs w:val="false"/>
              </w:rPr>
              <w:t xml:space="preserve">Default x500 physics may not match any real airframe</w:t>
            </w:r>
          </w:p>
        </w:tc>
        <w:tc>
          <w:tcPr>
            <w:tcW w:type="dxa" w:w="5900"/>
            <w:tcMar>
              <w:top w:type="dxa" w:w="60"/>
              <w:left w:type="dxa" w:w="100"/>
              <w:bottom w:type="dxa" w:w="60"/>
              <w:right w:type="dxa" w:w="100"/>
            </w:tcMar>
          </w:tcPr>
          <w:p>
            <w:pPr>
              <w:jc w:val="left"/>
            </w:pPr>
            <w:r>
              <w:rPr>
                <w:b w:val="false"/>
                <w:bCs w:val="false"/>
              </w:rPr>
              <w:t xml:space="preserve">WP-F treats this explicitly rather than silently shipping stock PX4 defaults as "real physics"</w:t>
            </w:r>
          </w:p>
        </w:tc>
      </w:tr>
    </w:tbl>
    <w:p>
      <w:pPr>
        <w:spacing w:after="200"/>
      </w:pPr>
    </w:p>
    <w:p>
      <w:pPr>
        <w:pStyle w:val="Heading1"/>
        <w:spacing w:after="150" w:before="300"/>
      </w:pPr>
      <w:r>
        <w:t xml:space="preserve">7. Open decisions</w:t>
      </w:r>
    </w:p>
    <w:p>
      <w:pPr>
        <w:spacing w:after="120"/>
      </w:pPr>
      <w:r>
        <w:t xml:space="preserve">These need a call before (or early into) WP-A/WP-D — flagged rather than silently defaulted:</w:t>
      </w:r>
    </w:p>
    <w:p>
      <w:pPr>
        <w:pStyle w:val="ListParagraph"/>
        <w:numPr>
          <w:ilvl w:val="0"/>
          <w:numId w:val="2"/>
        </w:numPr>
        <w:spacing w:after="60"/>
      </w:pPr>
      <w:r>
        <w:t xml:space="preserve">ROS2 distro: Humble (longer LTS, most mature ros_gz/PX4/MAVROS support) vs. Jazzy (newer, pairs more natively with Gazebo Harmonic).</w:t>
      </w:r>
    </w:p>
    <w:p>
      <w:pPr>
        <w:pStyle w:val="ListParagraph"/>
        <w:numPr>
          <w:ilvl w:val="0"/>
          <w:numId w:val="2"/>
        </w:numPr>
        <w:spacing w:after="60"/>
      </w:pPr>
      <w:r>
        <w:t xml:space="preserve">Reference real drone for physics parameters in WP-F — a specific commercial airframe spec, or treat the generic PX4 x500 as sufficient for this proof of concept.</w:t>
      </w:r>
    </w:p>
    <w:p>
      <w:pPr>
        <w:pStyle w:val="ListParagraph"/>
        <w:numPr>
          <w:ilvl w:val="0"/>
          <w:numId w:val="2"/>
        </w:numPr>
        <w:spacing w:after="60"/>
      </w:pPr>
      <w:r>
        <w:t xml:space="preserve">MAVROS vs. PX4's native uXRCE-DDS bridge for the ROS2 connection (see risk above) — confirm MAVROS is still the intended long-term choice.</w:t>
      </w:r>
    </w:p>
    <w:p>
      <w:pPr>
        <w:pStyle w:val="ListParagraph"/>
        <w:numPr>
          <w:ilvl w:val="0"/>
          <w:numId w:val="2"/>
        </w:numPr>
        <w:spacing w:after="60"/>
      </w:pPr>
      <w:r>
        <w:t xml:space="preserve">Single-drone scaffolding now vs. namespacing topics/nodes for multi-drone from the start, given the swarm layer arrives in Phase 6 of the overall roadmap.</w:t>
      </w:r>
    </w:p>
    <w:p>
      <w:pPr>
        <w:pStyle w:val="Heading1"/>
        <w:spacing w:after="150" w:before="300"/>
      </w:pPr>
      <w:r>
        <w:t xml:space="preserve">8. Definition of done</w:t>
      </w:r>
    </w:p>
    <w:p>
      <w:pPr>
        <w:spacing w:after="120"/>
      </w:pPr>
      <w:r>
        <w:t xml:space="preserve">WP-A through WP-G complete; E4's manual-control exit criterion demonstrated and recorded; a tagged git checkpoint exists; the physics-assumptions note from F4 is checked in. At that point Phase 2 (full node graph with placeholder models) can begin.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2026-10-07T04:02:57.259Z</dcterms:created>
  <dcterms:modified xsi:type="dcterms:W3CDTF">2026-10-07T04:02:57.259Z</dcterms:modified>
</cp:coreProperties>
</file>

<file path=docProps/custom.xml><?xml version="1.0" encoding="utf-8"?>
<Properties xmlns="http://schemas.openxmlformats.org/officeDocument/2006/custom-properties" xmlns:vt="http://schemas.openxmlformats.org/officeDocument/2006/docPropsVTypes"/>
</file>