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proofErr w:type="spellStart"/>
        <w:r w:rsidR="003D305B" w:rsidRPr="009C360F">
          <w:rPr>
            <w:rStyle w:val="Hyperlink"/>
            <w:i/>
          </w:rPr>
          <w:t>MathType</w:t>
        </w:r>
        <w:proofErr w:type="spellEnd"/>
      </w:hyperlink>
      <w:r>
        <w:rPr>
          <w:i/>
        </w:rPr>
        <w:t xml:space="preserve">; graphs made using </w:t>
      </w:r>
      <w:hyperlink r:id="rId9" w:history="1">
        <w:proofErr w:type="spellStart"/>
        <w:r w:rsidRPr="00B650E2">
          <w:rPr>
            <w:rStyle w:val="Hyperlink"/>
            <w:i/>
          </w:rPr>
          <w:t>Winplot</w:t>
        </w:r>
        <w:proofErr w:type="spellEnd"/>
      </w:hyperlink>
      <w:r>
        <w:rPr>
          <w:i/>
        </w:rPr>
        <w:t>.</w:t>
      </w:r>
    </w:p>
    <w:p w:rsidR="003D305B" w:rsidRDefault="003D305B" w:rsidP="003D305B">
      <w:pPr>
        <w:pStyle w:val="Heading1"/>
      </w:pPr>
      <w:r>
        <w:t>Chapter</w:t>
      </w:r>
      <w:r w:rsidR="00502FBE">
        <w:t xml:space="preserve"> 1</w:t>
      </w:r>
      <w:r w:rsidR="003268D1">
        <w:t xml:space="preserve"> − Sustainability</w:t>
      </w:r>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r>
        <w:t>Triple-Bottom Line</w:t>
      </w:r>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r>
        <w:t>Seven Revolutions</w:t>
      </w:r>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lastRenderedPageBreak/>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r>
        <w:t>Chapter 2</w:t>
      </w:r>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386365" w:rsidRDefault="00386365" w:rsidP="00502FBE">
      <w:pPr>
        <w:pStyle w:val="NoSpacing"/>
      </w:pPr>
      <w:r>
        <w:rPr>
          <w:b/>
        </w:rPr>
        <w:t>Present worth</w:t>
      </w:r>
      <w:r>
        <w:t xml:space="preserve"> [P]: the amount of money that is currently being dealt with (whether being loaned, or an annuity); before initiating a time period exchange, the present worth is known as the </w:t>
      </w:r>
      <w:r>
        <w:rPr>
          <w:b/>
        </w:rPr>
        <w:t>principle amount</w:t>
      </w:r>
    </w:p>
    <w:p w:rsidR="00386365" w:rsidRDefault="00386365" w:rsidP="00502FBE">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p>
    <w:p w:rsidR="00214981" w:rsidRDefault="00214981" w:rsidP="00225AE3">
      <w:pPr>
        <w:pStyle w:val="NoSpacing"/>
      </w:pPr>
    </w:p>
    <w:p w:rsidR="00225AE3" w:rsidRPr="00214981" w:rsidRDefault="00214981" w:rsidP="00225AE3">
      <w:pPr>
        <w:pStyle w:val="NoSpacing"/>
      </w:pPr>
      <w:r w:rsidRPr="008B4CEA">
        <w:pict>
          <v:shape id="Picture 4" o:spid="_x0000_i1032" type="#_x0000_t75" style="width:2.65pt;height:2.65pt;visibility:visible;mso-wrap-style:square">
            <v:imagedata r:id="rId12" o:title=""/>
          </v:shape>
        </w:pict>
      </w:r>
      <w:proofErr w:type="spellStart"/>
      <w:r>
        <w:rPr>
          <w:b/>
        </w:rPr>
        <w:t>Cashflow</w:t>
      </w:r>
      <w:proofErr w:type="spellEnd"/>
      <w:r>
        <w:rPr>
          <w:b/>
        </w:rPr>
        <w:t xml:space="preserve"> </w:t>
      </w:r>
      <w:r w:rsidRPr="00214981">
        <w:rPr>
          <w:b/>
        </w:rPr>
        <w:t>period</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Interest rate per time period</w:t>
      </w:r>
      <w:r>
        <w:t xml:space="preserve"> [</w:t>
      </w:r>
      <w:proofErr w:type="spellStart"/>
      <w:r>
        <w:rPr>
          <w:i/>
        </w:rPr>
        <w:t>i</w:t>
      </w:r>
      <w:proofErr w:type="spellEnd"/>
      <w:r>
        <w:t>]</w:t>
      </w:r>
      <w:r w:rsidR="001C7523">
        <w:t>: interest for each interest period</w:t>
      </w:r>
      <w:r w:rsidR="006A2366">
        <w:t xml:space="preserve"> </w:t>
      </w:r>
      <w:r w:rsidR="006A2366" w:rsidRPr="006A2366">
        <w:rPr>
          <w:position w:val="-12"/>
        </w:rPr>
        <w:object w:dxaOrig="520" w:dyaOrig="360">
          <v:shape id="_x0000_i1030" type="#_x0000_t75" style="width:26.05pt;height:18.1pt" o:ole="">
            <v:imagedata r:id="rId13" o:title=""/>
          </v:shape>
          <o:OLEObject Type="Embed" ProgID="Equation.DSMT4" ShapeID="_x0000_i1030" DrawAspect="Content" ObjectID="_1452700231" r:id="rId14"/>
        </w:object>
      </w:r>
    </w:p>
    <w:p w:rsidR="00B26DB8" w:rsidRDefault="00B26DB8" w:rsidP="00502FBE">
      <w:pPr>
        <w:pStyle w:val="NoSpacing"/>
      </w:pPr>
    </w:p>
    <w:p w:rsidR="009F3DC7" w:rsidRDefault="009F3DC7" w:rsidP="00502FBE">
      <w:pPr>
        <w:pStyle w:val="NoSpacing"/>
      </w:pPr>
      <w:proofErr w:type="gramStart"/>
      <w:r>
        <w:rPr>
          <w:i/>
        </w:rPr>
        <w:t>k</w:t>
      </w:r>
      <w:proofErr w:type="gramEnd"/>
      <w:r>
        <w:t>: number of periods per cash flow period</w: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rate that </w:t>
      </w:r>
      <w:r w:rsidR="007126BF">
        <w:t xml:space="preserve">takes compounding </w:t>
      </w:r>
      <w:r w:rsidR="004B5917">
        <w:t>and payment periods</w:t>
      </w:r>
      <w:r w:rsidR="007126BF">
        <w:t xml:space="preserve"> into consideration</w:t>
      </w:r>
    </w:p>
    <w:p w:rsidR="009F5301" w:rsidRDefault="009F5301" w:rsidP="00502FBE">
      <w:pPr>
        <w:pStyle w:val="NoSpacing"/>
      </w:pPr>
      <w:r w:rsidRPr="009F5301">
        <w:rPr>
          <w:position w:val="-20"/>
        </w:rPr>
        <w:object w:dxaOrig="1700" w:dyaOrig="520">
          <v:shape id="_x0000_i1031" type="#_x0000_t75" style="width:84.8pt;height:26.05pt" o:ole="">
            <v:imagedata r:id="rId15" o:title=""/>
          </v:shape>
          <o:OLEObject Type="Embed" ProgID="Equation.DSMT4" ShapeID="_x0000_i1031" DrawAspect="Content" ObjectID="_1452700232" r:id="rId16"/>
        </w:object>
      </w:r>
    </w:p>
    <w:p w:rsidR="00502FBE" w:rsidRDefault="009F5301" w:rsidP="00502FBE">
      <w:pPr>
        <w:pStyle w:val="NoSpacing"/>
        <w:rPr>
          <w:b/>
        </w:rPr>
      </w:pPr>
      <w:r>
        <w:t xml:space="preserve">Effective interest per cash </w:t>
      </w:r>
      <w:proofErr w:type="gramStart"/>
      <w:r>
        <w:t>flow[</w:t>
      </w:r>
      <w:proofErr w:type="spellStart"/>
      <w:proofErr w:type="gramEnd"/>
      <w:r>
        <w:t>i</w:t>
      </w:r>
      <w:r>
        <w:rPr>
          <w:vertAlign w:val="subscript"/>
        </w:rPr>
        <w:t>e</w:t>
      </w:r>
      <w:proofErr w:type="spellEnd"/>
      <w:r>
        <w:rPr>
          <w:vertAlign w:val="subscript"/>
        </w:rPr>
        <w:t>/k</w:t>
      </w:r>
      <w:r>
        <w:t xml:space="preserve">]: </w:t>
      </w:r>
      <w:r w:rsidR="001C7523" w:rsidRPr="007126BF">
        <w:rPr>
          <w:position w:val="-18"/>
        </w:rPr>
        <w:object w:dxaOrig="1480" w:dyaOrig="480">
          <v:shape id="_x0000_i1027" type="#_x0000_t75" style="width:73.75pt;height:23.85pt" o:ole="">
            <v:imagedata r:id="rId17" o:title=""/>
          </v:shape>
          <o:OLEObject Type="Embed" ProgID="Equation.DSMT4" ShapeID="_x0000_i1027" DrawAspect="Content" ObjectID="_1452700233" r:id="rId18"/>
        </w:object>
      </w: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r>
        <w:t>Methods of Interest Calculation</w:t>
      </w:r>
    </w:p>
    <w:p w:rsidR="00BB0959" w:rsidRPr="00D87644" w:rsidRDefault="0024778A"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24778A" w:rsidP="00BB0959">
      <w:pPr>
        <w:pStyle w:val="NoSpacing"/>
        <w:numPr>
          <w:ilvl w:val="0"/>
          <w:numId w:val="3"/>
        </w:numPr>
      </w:pPr>
      <w:hyperlink w:anchor="_Simple_Interest" w:history="1">
        <w:r w:rsidR="00BB0959" w:rsidRPr="0024778A">
          <w:rPr>
            <w:rStyle w:val="Hyperlink"/>
          </w:rPr>
          <w:t>Simple Interest</w:t>
        </w:r>
      </w:hyperlink>
    </w:p>
    <w:p w:rsidR="002A5AF7" w:rsidRDefault="0024778A"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0" w:name="_Lump_Sum"/>
      <w:bookmarkEnd w:id="0"/>
      <w:r>
        <w:t>Lump Sum</w:t>
      </w:r>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6" type="#_x0000_t75" style="width:33.15pt;height:14.15pt" o:ole="">
            <v:imagedata r:id="rId19" o:title=""/>
          </v:shape>
          <o:OLEObject Type="Embed" ProgID="Equation.DSMT4" ShapeID="_x0000_i1026" DrawAspect="Content" ObjectID="_1452700234" r:id="rId20"/>
        </w:object>
      </w:r>
    </w:p>
    <w:p w:rsidR="00AD72BD" w:rsidRPr="00AD72BD" w:rsidRDefault="00AD72BD" w:rsidP="003F2A6E">
      <w:pPr>
        <w:pStyle w:val="NoSpacing"/>
      </w:pPr>
      <w:r w:rsidRPr="00AD72BD">
        <w:rPr>
          <w:position w:val="-14"/>
        </w:rPr>
        <w:object w:dxaOrig="1219" w:dyaOrig="400">
          <v:shape id="_x0000_i1025" type="#_x0000_t75" style="width:60.95pt;height:19.9pt" o:ole="">
            <v:imagedata r:id="rId21" o:title=""/>
          </v:shape>
          <o:OLEObject Type="Embed" ProgID="Equation.DSMT4" ShapeID="_x0000_i1025" DrawAspect="Content" ObjectID="_1452700235" r:id="rId22"/>
        </w:object>
      </w:r>
    </w:p>
    <w:p w:rsidR="003F2A6E" w:rsidRDefault="003F2A6E" w:rsidP="003F2A6E">
      <w:pPr>
        <w:pStyle w:val="Heading3"/>
      </w:pPr>
      <w:bookmarkStart w:id="1" w:name="_Simple_Interest"/>
      <w:bookmarkEnd w:id="1"/>
      <w:r>
        <w:t>Simple Interest</w:t>
      </w:r>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28" type="#_x0000_t75" style="width:112.2pt;height:19.9pt" o:ole="">
            <v:imagedata r:id="rId23" o:title=""/>
          </v:shape>
          <o:OLEObject Type="Embed" ProgID="Equation.DSMT4" ShapeID="_x0000_i1028" DrawAspect="Content" ObjectID="_1452700236" r:id="rId24"/>
        </w:object>
      </w:r>
    </w:p>
    <w:p w:rsidR="003F2A6E" w:rsidRDefault="003F2A6E" w:rsidP="003F2A6E">
      <w:pPr>
        <w:pStyle w:val="Heading3"/>
      </w:pPr>
      <w:bookmarkStart w:id="2" w:name="_Compound_Interest"/>
      <w:bookmarkEnd w:id="2"/>
      <w:r>
        <w:t>Compound Interest</w:t>
      </w:r>
    </w:p>
    <w:p w:rsidR="00F622CD" w:rsidRDefault="00F622CD" w:rsidP="00F622CD">
      <w:pPr>
        <w:pStyle w:val="NoSpacing"/>
      </w:pPr>
      <w:r>
        <w:rPr>
          <w:b/>
        </w:rPr>
        <w:t>Compound</w:t>
      </w:r>
      <w:r>
        <w:rPr>
          <w:b/>
        </w:rPr>
        <w:t xml:space="preserve"> interest</w:t>
      </w:r>
      <w:r>
        <w:t xml:space="preserve">: a method of calculating interest that </w:t>
      </w:r>
      <w:r>
        <w:t xml:space="preserve">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29" type="#_x0000_t75" style="width:83.95pt;height:82.15pt" o:ole="">
            <v:imagedata r:id="rId25" o:title=""/>
          </v:shape>
          <o:OLEObject Type="Embed" ProgID="Equation.DSMT4" ShapeID="_x0000_i1029" DrawAspect="Content" ObjectID="_1452700237" r:id="rId26"/>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times when interest begins to be charged on unpaid previous interest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r>
        <w:t>Continuous Compound</w:t>
      </w:r>
    </w:p>
    <w:p w:rsidR="000415F6" w:rsidRPr="000415F6" w:rsidRDefault="000415F6" w:rsidP="000415F6">
      <w:pPr>
        <w:pStyle w:val="NoSpacing"/>
      </w:pPr>
      <w:r w:rsidRPr="000415F6">
        <w:rPr>
          <w:position w:val="-36"/>
        </w:rPr>
        <w:object w:dxaOrig="1860" w:dyaOrig="840">
          <v:shape id="_x0000_i1033" type="#_x0000_t75" style="width:93.2pt;height:41.95pt" o:ole="">
            <v:imagedata r:id="rId28" o:title=""/>
          </v:shape>
          <o:OLEObject Type="Embed" ProgID="Equation.DSMT4" ShapeID="_x0000_i1033" DrawAspect="Content" ObjectID="_1452700238" r:id="rId29"/>
        </w:object>
      </w:r>
      <w:bookmarkStart w:id="3" w:name="_GoBack"/>
      <w:bookmarkEnd w:id="3"/>
    </w:p>
    <w:p w:rsidR="00684AB0" w:rsidRDefault="00684AB0" w:rsidP="00684AB0">
      <w:pPr>
        <w:pStyle w:val="Heading2"/>
        <w:rPr>
          <w:b w:val="0"/>
        </w:rPr>
      </w:pPr>
      <w:r>
        <w:t>Cash Flow Diagrams</w:t>
      </w:r>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lastRenderedPageBreak/>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55687" cy="1956965"/>
                    </a:xfrm>
                    <a:prstGeom prst="rect">
                      <a:avLst/>
                    </a:prstGeom>
                  </pic:spPr>
                </pic:pic>
              </a:graphicData>
            </a:graphic>
          </wp:inline>
        </w:drawing>
      </w:r>
    </w:p>
    <w:p w:rsidR="00554D62" w:rsidRDefault="00554D62" w:rsidP="00554D62">
      <w:pPr>
        <w:pStyle w:val="NoSpacing"/>
      </w:pPr>
    </w:p>
    <w:p w:rsidR="00BD4499" w:rsidRPr="00684AB0" w:rsidRDefault="00BD4499" w:rsidP="00684AB0">
      <w:pPr>
        <w:pStyle w:val="NoSpacing"/>
      </w:pPr>
    </w:p>
    <w:p w:rsidR="002A5077" w:rsidRPr="002A5077" w:rsidRDefault="002A5077" w:rsidP="002A5077">
      <w:pPr>
        <w:pStyle w:val="NoSpacing"/>
      </w:pPr>
    </w:p>
    <w:p w:rsidR="00145809" w:rsidRDefault="00145809" w:rsidP="00145809">
      <w:pPr>
        <w:pStyle w:val="Heading1"/>
      </w:pPr>
      <w:r>
        <w:t>Chapter 3</w:t>
      </w:r>
    </w:p>
    <w:p w:rsidR="00145809" w:rsidRDefault="00C775CE" w:rsidP="00145809">
      <w:pPr>
        <w:pStyle w:val="NoSpacing"/>
      </w:pPr>
      <w:r>
        <w:rPr>
          <w:b/>
        </w:rPr>
        <w:t>Equivalence</w:t>
      </w:r>
      <w:r>
        <w:t xml:space="preserve">: </w:t>
      </w:r>
    </w:p>
    <w:p w:rsidR="00A9459B" w:rsidRPr="00A9459B" w:rsidRDefault="00A9459B" w:rsidP="00145809">
      <w:pPr>
        <w:pStyle w:val="NoSpacing"/>
      </w:pPr>
      <w:r>
        <w:rPr>
          <w:b/>
        </w:rPr>
        <w:t>Decisional Equivalence</w:t>
      </w:r>
      <w:r>
        <w:t xml:space="preserve">: </w:t>
      </w:r>
    </w:p>
    <w:sectPr w:rsidR="00A9459B" w:rsidRPr="00A9459B">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B24" w:rsidRDefault="00245B24" w:rsidP="00756214">
      <w:pPr>
        <w:spacing w:after="0" w:line="240" w:lineRule="auto"/>
      </w:pPr>
      <w:r>
        <w:separator/>
      </w:r>
    </w:p>
  </w:endnote>
  <w:endnote w:type="continuationSeparator" w:id="0">
    <w:p w:rsidR="00245B24" w:rsidRDefault="00245B2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415F6">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415F6">
              <w:rPr>
                <w:b/>
                <w:bCs/>
                <w:noProof/>
              </w:rPr>
              <w:t>4</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B24" w:rsidRDefault="00245B24" w:rsidP="00756214">
      <w:pPr>
        <w:spacing w:after="0" w:line="240" w:lineRule="auto"/>
      </w:pPr>
      <w:r>
        <w:separator/>
      </w:r>
    </w:p>
  </w:footnote>
  <w:footnote w:type="continuationSeparator" w:id="0">
    <w:p w:rsidR="00245B24" w:rsidRDefault="00245B24"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pt;height:4.4pt;visibility:visible;mso-wrap-style:square" o:bullet="t">
        <v:imagedata r:id="rId1" o:title=""/>
      </v:shape>
    </w:pict>
  </w:numPicBullet>
  <w:abstractNum w:abstractNumId="0">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B589F"/>
    <w:rsid w:val="000E1D51"/>
    <w:rsid w:val="00106EB3"/>
    <w:rsid w:val="00123365"/>
    <w:rsid w:val="00145809"/>
    <w:rsid w:val="00147AFC"/>
    <w:rsid w:val="0017536E"/>
    <w:rsid w:val="001C0472"/>
    <w:rsid w:val="001C348C"/>
    <w:rsid w:val="001C7523"/>
    <w:rsid w:val="00214981"/>
    <w:rsid w:val="00220EF4"/>
    <w:rsid w:val="00225AE3"/>
    <w:rsid w:val="00245B24"/>
    <w:rsid w:val="0024778A"/>
    <w:rsid w:val="00255F33"/>
    <w:rsid w:val="002A5077"/>
    <w:rsid w:val="002A5AF7"/>
    <w:rsid w:val="002C288B"/>
    <w:rsid w:val="002D734E"/>
    <w:rsid w:val="003268D1"/>
    <w:rsid w:val="00344528"/>
    <w:rsid w:val="003750EA"/>
    <w:rsid w:val="00386365"/>
    <w:rsid w:val="0039761C"/>
    <w:rsid w:val="003A6FF3"/>
    <w:rsid w:val="003C7402"/>
    <w:rsid w:val="003D305B"/>
    <w:rsid w:val="003F2A6E"/>
    <w:rsid w:val="004039C0"/>
    <w:rsid w:val="0045364E"/>
    <w:rsid w:val="004570C8"/>
    <w:rsid w:val="004604F4"/>
    <w:rsid w:val="004B5917"/>
    <w:rsid w:val="004C086F"/>
    <w:rsid w:val="004F3684"/>
    <w:rsid w:val="00502FBE"/>
    <w:rsid w:val="00535BFD"/>
    <w:rsid w:val="00554D62"/>
    <w:rsid w:val="005622EC"/>
    <w:rsid w:val="00586C77"/>
    <w:rsid w:val="005A5A50"/>
    <w:rsid w:val="005C47DA"/>
    <w:rsid w:val="006061EB"/>
    <w:rsid w:val="00684AB0"/>
    <w:rsid w:val="006877DE"/>
    <w:rsid w:val="006A2366"/>
    <w:rsid w:val="006F14BE"/>
    <w:rsid w:val="00710E9B"/>
    <w:rsid w:val="00712645"/>
    <w:rsid w:val="007126BF"/>
    <w:rsid w:val="00756214"/>
    <w:rsid w:val="007A54B9"/>
    <w:rsid w:val="007C5FE6"/>
    <w:rsid w:val="00802AA5"/>
    <w:rsid w:val="00831209"/>
    <w:rsid w:val="00841D4E"/>
    <w:rsid w:val="00905246"/>
    <w:rsid w:val="00972070"/>
    <w:rsid w:val="009764E2"/>
    <w:rsid w:val="009C360F"/>
    <w:rsid w:val="009F3DC7"/>
    <w:rsid w:val="009F5301"/>
    <w:rsid w:val="00A139DD"/>
    <w:rsid w:val="00A51796"/>
    <w:rsid w:val="00A70DEC"/>
    <w:rsid w:val="00A91405"/>
    <w:rsid w:val="00A9459B"/>
    <w:rsid w:val="00AA6E3E"/>
    <w:rsid w:val="00AB0BAC"/>
    <w:rsid w:val="00AC61F2"/>
    <w:rsid w:val="00AD72BD"/>
    <w:rsid w:val="00B16440"/>
    <w:rsid w:val="00B21115"/>
    <w:rsid w:val="00B26DB8"/>
    <w:rsid w:val="00B650E2"/>
    <w:rsid w:val="00BB0959"/>
    <w:rsid w:val="00BD4499"/>
    <w:rsid w:val="00C30633"/>
    <w:rsid w:val="00C3139C"/>
    <w:rsid w:val="00C775CE"/>
    <w:rsid w:val="00CE6623"/>
    <w:rsid w:val="00D53472"/>
    <w:rsid w:val="00D87644"/>
    <w:rsid w:val="00DD01DB"/>
    <w:rsid w:val="00DE32B1"/>
    <w:rsid w:val="00DE503D"/>
    <w:rsid w:val="00E2313B"/>
    <w:rsid w:val="00F0550E"/>
    <w:rsid w:val="00F54DF7"/>
    <w:rsid w:val="00F622CD"/>
    <w:rsid w:val="00F950CA"/>
    <w:rsid w:val="00FA0428"/>
    <w:rsid w:val="00FC7A4A"/>
    <w:rsid w:val="00FD791F"/>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sci.com/en/products/mathtype/" TargetMode="Externa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184</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61</cp:revision>
  <dcterms:created xsi:type="dcterms:W3CDTF">2014-01-08T15:02:00Z</dcterms:created>
  <dcterms:modified xsi:type="dcterms:W3CDTF">2014-01-31T23:58:00Z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