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each of the goods is at a maximum (0,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 &amp; (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</w:t>
      </w:r>
      <w:proofErr w:type="spellStart"/>
      <w:r w:rsidR="003F56AB">
        <w:t>you</w:t>
      </w:r>
      <w:proofErr w:type="spellEnd"/>
      <w:r w:rsidR="003F56AB">
        <w:t xml:space="preserve">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4C7E0E" w:rsidRDefault="004C7E0E" w:rsidP="008E47BF">
      <w:pPr>
        <w:pStyle w:val="NoSpacing"/>
      </w:pP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lastRenderedPageBreak/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 xml:space="preserve">et </w:t>
      </w:r>
      <w:proofErr w:type="spellStart"/>
      <w:r>
        <w:t>e</w:t>
      </w:r>
      <w:r>
        <w:rPr>
          <w:b/>
        </w:rPr>
        <w:t>X</w:t>
      </w:r>
      <w:r>
        <w:t>ports</w:t>
      </w:r>
      <w:proofErr w:type="spellEnd"/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proofErr w:type="spellStart"/>
      <w:r>
        <w:t>S</w:t>
      </w:r>
      <w:r>
        <w:rPr>
          <w:vertAlign w:val="subscript"/>
        </w:rPr>
        <w:t>p</w:t>
      </w:r>
      <w:proofErr w:type="spellEnd"/>
      <w:r>
        <w:t>: public saving = T − G</w:t>
      </w:r>
    </w:p>
    <w:p w:rsidR="008A3356" w:rsidRPr="008A3356" w:rsidRDefault="008A3356" w:rsidP="0010224C">
      <w:pPr>
        <w:pStyle w:val="NoSpacing"/>
      </w:pP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0C6675" w:rsidRPr="004D563A" w:rsidRDefault="000C6675" w:rsidP="000C6675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5E042E" w:rsidRDefault="005E042E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A116E0" w:rsidRPr="00A116E0" w:rsidRDefault="00A116E0" w:rsidP="00A116E0">
      <w:pPr>
        <w:pStyle w:val="NoSpacing"/>
      </w:pPr>
      <w:r>
        <w:t xml:space="preserve"> </w:t>
      </w:r>
    </w:p>
    <w:p w:rsidR="00693D34" w:rsidRPr="00693D34" w:rsidRDefault="00693D34" w:rsidP="005E042E">
      <w:pPr>
        <w:pStyle w:val="NoSpacing"/>
      </w:pPr>
      <w:r>
        <w:rPr>
          <w:b/>
        </w:rPr>
        <w:t>Capital</w:t>
      </w:r>
      <w:r w:rsidR="0086665A">
        <w:t>: durable goods, i.e. physical wealth and money</w:t>
      </w:r>
    </w:p>
    <w:p w:rsidR="00BE5913" w:rsidRDefault="00BE5913" w:rsidP="005E042E">
      <w:pPr>
        <w:pStyle w:val="NoSpacing"/>
      </w:pP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9726CA" w:rsidRPr="009726CA" w:rsidRDefault="009726CA" w:rsidP="005C49C1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9726CA" w:rsidRDefault="009726CA" w:rsidP="005C49C1">
      <w:pPr>
        <w:pStyle w:val="NoSpacing"/>
      </w:pPr>
    </w:p>
    <w:p w:rsidR="005C49C1" w:rsidRDefault="005C49C1" w:rsidP="005C49C1">
      <w:pPr>
        <w:pStyle w:val="NoSpacing"/>
      </w:pPr>
      <w:r>
        <w:rPr>
          <w:b/>
        </w:rPr>
        <w:t>Catch-up effect</w:t>
      </w:r>
      <w:r>
        <w:t xml:space="preserve">: </w:t>
      </w:r>
      <w:r w:rsidR="00F27215">
        <w:t>how developing countries have higher growth rate than developed countries</w:t>
      </w:r>
      <w:r w:rsidR="00333AF1">
        <w:t xml:space="preserve">, caused by </w:t>
      </w:r>
      <w:r w:rsidR="00167F3F">
        <w:t>diminishing marginal product</w:t>
      </w:r>
    </w:p>
    <w:p w:rsidR="005D1B6B" w:rsidRDefault="005D1B6B" w:rsidP="005C49C1">
      <w:pPr>
        <w:pStyle w:val="NoSpacing"/>
      </w:pP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4pt" o:ole="">
            <v:imagedata r:id="rId6" o:title=""/>
          </v:shape>
          <o:OLEObject Type="Embed" ProgID="Equation.DSMT4" ShapeID="_x0000_i1025" DrawAspect="Content" ObjectID="_1447482181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lastRenderedPageBreak/>
        <w:t>Unmeasured quality change (such as technology in cars)</w:t>
      </w:r>
    </w:p>
    <w:p w:rsidR="00DF11C8" w:rsidRDefault="00DF11C8" w:rsidP="00DF11C8">
      <w:pPr>
        <w:pStyle w:val="NoSpacing"/>
      </w:pP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7.95pt;height:34pt" o:ole="">
            <v:imagedata r:id="rId8" o:title=""/>
          </v:shape>
          <o:OLEObject Type="Embed" ProgID="Equation.DSMT4" ShapeID="_x0000_i1026" DrawAspect="Content" ObjectID="_1447482182" r:id="rId9"/>
        </w:objec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4pt" o:ole="">
            <v:imagedata r:id="rId10" o:title=""/>
          </v:shape>
          <o:OLEObject Type="Embed" ProgID="Equation.DSMT4" ShapeID="_x0000_i1027" DrawAspect="Content" ObjectID="_1447482183" r:id="rId11"/>
        </w:object>
      </w:r>
    </w:p>
    <w:p w:rsidR="00D871C0" w:rsidRDefault="00D871C0" w:rsidP="0047218E">
      <w:pPr>
        <w:pStyle w:val="NoSpacing"/>
      </w:pP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5pt;height:36.8pt" o:ole="">
            <v:imagedata r:id="rId12" o:title=""/>
          </v:shape>
          <o:OLEObject Type="Embed" ProgID="Equation.DSMT4" ShapeID="_x0000_i1028" DrawAspect="Content" ObjectID="_1447482184" r:id="rId13"/>
        </w:object>
      </w:r>
    </w:p>
    <w:p w:rsidR="008F25BB" w:rsidRDefault="008F25BB" w:rsidP="008F25BB">
      <w:pPr>
        <w:pStyle w:val="NoSpacing"/>
      </w:pP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t>Chapter 7 – Production and Growth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2pt" o:ole="">
            <v:imagedata r:id="rId14" o:title=""/>
          </v:shape>
          <o:OLEObject Type="Embed" ProgID="Equation.DSMT4" ShapeID="_x0000_i1029" DrawAspect="Content" ObjectID="_1447482185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r>
        <w:rPr>
          <w:u w:val="single"/>
        </w:rPr>
        <w:t>K</w:t>
      </w:r>
      <w:r>
        <w:t>apital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0" type="#_x0000_t75" style="width:116.7pt;height:34pt" o:ole="">
            <v:imagedata r:id="rId16" o:title=""/>
          </v:shape>
          <o:OLEObject Type="Embed" ProgID="Equation.DSMT4" ShapeID="_x0000_i1030" DrawAspect="Content" ObjectID="_1447482186" r:id="rId17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03105C" w:rsidRDefault="0003105C" w:rsidP="005C49C1">
      <w:pPr>
        <w:pStyle w:val="NoSpacing"/>
      </w:pPr>
    </w:p>
    <w:p w:rsidR="0003105C" w:rsidRDefault="0003105C" w:rsidP="005C49C1">
      <w:pPr>
        <w:pStyle w:val="NoSpacing"/>
      </w:pPr>
      <w:r>
        <w:rPr>
          <w:b/>
        </w:rPr>
        <w:t xml:space="preserve">Constant Returns to </w:t>
      </w:r>
      <w:r w:rsidR="00180D8C">
        <w:rPr>
          <w:b/>
        </w:rPr>
        <w:t>scale</w:t>
      </w:r>
      <w:r w:rsidR="00180D8C">
        <w:t xml:space="preserve">: </w:t>
      </w:r>
      <w:r w:rsidR="00E201AA">
        <w:t>increased input by a factor causes the output to increase by the same factor;</w:t>
      </w:r>
      <w:r w:rsidR="00E201AA" w:rsidRPr="00E201AA">
        <w:rPr>
          <w:position w:val="-14"/>
        </w:rPr>
        <w:object w:dxaOrig="2600" w:dyaOrig="400">
          <v:shape id="_x0000_i1031" type="#_x0000_t75" style="width:130.15pt;height:20.2pt" o:ole="">
            <v:imagedata r:id="rId18" o:title=""/>
          </v:shape>
          <o:OLEObject Type="Embed" ProgID="Equation.DSMT4" ShapeID="_x0000_i1031" DrawAspect="Content" ObjectID="_1447482187" r:id="rId19"/>
        </w:objec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4A6648" w:rsidRDefault="004A6648" w:rsidP="005C49C1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Pr="004A6648">
        <w:t>Y</w:t>
      </w:r>
      <w:r>
        <w:t xml:space="preserve"> = C + I + G</w:t>
      </w:r>
    </w:p>
    <w:p w:rsidR="00931C52" w:rsidRDefault="00931C52" w:rsidP="005C49C1">
      <w:pPr>
        <w:pStyle w:val="NoSpacing"/>
      </w:pPr>
      <w:r>
        <w:t>Y: GDP</w:t>
      </w:r>
    </w:p>
    <w:p w:rsidR="00931C52" w:rsidRDefault="00931C52" w:rsidP="005C49C1">
      <w:pPr>
        <w:pStyle w:val="NoSpacing"/>
      </w:pPr>
      <w:r>
        <w:t>C: Consumption</w:t>
      </w:r>
    </w:p>
    <w:p w:rsidR="00931C52" w:rsidRDefault="00931C52" w:rsidP="005C49C1">
      <w:pPr>
        <w:pStyle w:val="NoSpacing"/>
      </w:pPr>
      <w:r>
        <w:t>I: Investment</w:t>
      </w:r>
    </w:p>
    <w:p w:rsidR="00931C52" w:rsidRDefault="00931C52" w:rsidP="005C49C1">
      <w:pPr>
        <w:pStyle w:val="NoSpacing"/>
      </w:pPr>
      <w:r>
        <w:t>G: Government purchases</w:t>
      </w:r>
    </w:p>
    <w:p w:rsidR="00931C52" w:rsidRDefault="00931C52" w:rsidP="005C49C1">
      <w:pPr>
        <w:pStyle w:val="NoSpacing"/>
      </w:pPr>
    </w:p>
    <w:p w:rsidR="00931C52" w:rsidRDefault="00931C52" w:rsidP="005C49C1">
      <w:pPr>
        <w:pStyle w:val="NoSpacing"/>
      </w:pPr>
      <w:r>
        <w:t>S = I</w:t>
      </w:r>
    </w:p>
    <w:p w:rsidR="00931C52" w:rsidRDefault="00931C52" w:rsidP="005C49C1">
      <w:pPr>
        <w:pStyle w:val="NoSpacing"/>
      </w:pPr>
      <w:r>
        <w:t>S: Savings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(S</w:t>
      </w:r>
      <w:r w:rsidR="00A74BF5">
        <w:rPr>
          <w:b/>
          <w:vertAlign w:val="subscript"/>
        </w:rPr>
        <w:t>p</w:t>
      </w:r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(S</w:t>
      </w:r>
      <w:r>
        <w:rPr>
          <w:b/>
          <w:vertAlign w:val="subscript"/>
        </w:rPr>
        <w:t>g</w:t>
      </w:r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F15F4C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3A24F5" w:rsidRDefault="003A24F5" w:rsidP="003A24F5">
      <w:pPr>
        <w:pStyle w:val="NoSpacing"/>
        <w:rPr>
          <w:b/>
        </w:rPr>
      </w:pPr>
    </w:p>
    <w:p w:rsidR="003A24F5" w:rsidRPr="00D90DB7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sectoral,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sectoral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>Regular factors that affect Q</w:t>
      </w:r>
      <w:r>
        <w:rPr>
          <w:vertAlign w:val="subscript"/>
        </w:rPr>
        <w:t>d</w:t>
      </w:r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P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>rate of interest BoC charges Banks who borrow from them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CC4209" w:rsidRDefault="00CC4209" w:rsidP="00824E08">
      <w:pPr>
        <w:pStyle w:val="NoSpacing"/>
      </w:pPr>
    </w:p>
    <w:p w:rsidR="00CC4209" w:rsidRPr="00923A03" w:rsidRDefault="00CC4209" w:rsidP="00824E08">
      <w:pPr>
        <w:pStyle w:val="NoSpacing"/>
      </w:pPr>
      <w:r>
        <w:rPr>
          <w:b/>
        </w:rPr>
        <w:t>Velocity of money</w:t>
      </w:r>
      <w:r>
        <w:t>: number of times a given dollar is used in a transaction</w:t>
      </w:r>
      <w:proofErr w:type="gramStart"/>
      <w:r>
        <w:t xml:space="preserve">: </w:t>
      </w:r>
      <w:proofErr w:type="gramEnd"/>
      <w:r w:rsidRPr="00CC4209">
        <w:rPr>
          <w:position w:val="-24"/>
        </w:rPr>
        <w:object w:dxaOrig="1020" w:dyaOrig="620">
          <v:shape id="_x0000_i1032" type="#_x0000_t75" style="width:51.05pt;height:30.85pt" o:ole="">
            <v:imagedata r:id="rId20" o:title=""/>
          </v:shape>
          <o:OLEObject Type="Embed" ProgID="Equation.DSMT4" ShapeID="_x0000_i1032" DrawAspect="Content" ObjectID="_1447482188" r:id="rId21"/>
        </w:object>
      </w:r>
      <w:r>
        <w:t>, P = Price level, Y = real GDP (Q</w:t>
      </w:r>
      <w:r>
        <w:rPr>
          <w:vertAlign w:val="subscript"/>
        </w:rPr>
        <w:t>output</w:t>
      </w:r>
      <w:r>
        <w:t>), M = Q</w:t>
      </w:r>
      <w:r>
        <w:rPr>
          <w:vertAlign w:val="subscript"/>
        </w:rPr>
        <w:t>$</w:t>
      </w:r>
      <w:r w:rsidR="00923A03">
        <w:t>, Y×P = nominal GDP</w:t>
      </w:r>
    </w:p>
    <w:p w:rsidR="005A220F" w:rsidRDefault="005A220F" w:rsidP="00824E08">
      <w:pPr>
        <w:pStyle w:val="NoSpacing"/>
      </w:pPr>
    </w:p>
    <w:p w:rsidR="005A220F" w:rsidRDefault="003B5A45" w:rsidP="00824E08">
      <w:pPr>
        <w:pStyle w:val="NoSpacing"/>
      </w:pPr>
      <w:r>
        <w:t xml:space="preserve">Price </w:t>
      </w:r>
      <w:r w:rsidR="008763E6">
        <w:t>level (not GDP Deflator)</w:t>
      </w:r>
      <w:r>
        <w:t xml:space="preserve">: </w:t>
      </w:r>
      <w:r w:rsidR="005A220F" w:rsidRPr="005A220F">
        <w:rPr>
          <w:position w:val="-30"/>
        </w:rPr>
        <w:object w:dxaOrig="1060" w:dyaOrig="680">
          <v:shape id="_x0000_i1033" type="#_x0000_t75" style="width:53pt;height:34pt" o:ole="">
            <v:imagedata r:id="rId22" o:title=""/>
          </v:shape>
          <o:OLEObject Type="Embed" ProgID="Equation.DSMT4" ShapeID="_x0000_i1033" DrawAspect="Content" ObjectID="_1447482189" r:id="rId23"/>
        </w:objec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lastRenderedPageBreak/>
        <w:t>Fisher Effect</w:t>
      </w:r>
      <w:r>
        <w:t xml:space="preserve">: </w:t>
      </w:r>
      <w:r w:rsidR="0020623A">
        <w:t>when increase in interest rate becomes the same as that for the nominal interest rate</w:t>
      </w:r>
      <w:r w:rsidR="006209F1">
        <w:t>, to essentially balance the real interest rate to a consistent amount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complicated because 2 diagrams, 5 curves; affected by: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Pr="00F4102E" w:rsidRDefault="002F4113" w:rsidP="00D02814">
      <w:pPr>
        <w:pStyle w:val="NoSpacing"/>
      </w:pPr>
      <w:r>
        <w:t>When the government imposes a tariff, it doesn’t change the market for loanable funds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366488" w:rsidP="00AB4825">
      <w:pPr>
        <w:pStyle w:val="NoSpacing"/>
        <w:numPr>
          <w:ilvl w:val="0"/>
          <w:numId w:val="15"/>
        </w:numPr>
      </w:pPr>
      <w:r>
        <w:t>GDP</w:t>
      </w:r>
      <w:r w:rsidR="001F5DE2">
        <w:t xml:space="preserve"> [Y = C + I + G + NX</w:t>
      </w:r>
      <w:r>
        <w:t>]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Interest Rate Effect</w:t>
      </w:r>
      <w:r w:rsidR="00A83A09">
        <w:t>: liquidity preference theory: put money into money or bonds?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4A6E14" w:rsidRDefault="00965EE7" w:rsidP="00195FB2">
      <w:pPr>
        <w:pStyle w:val="NoSpacing"/>
        <w:numPr>
          <w:ilvl w:val="0"/>
          <w:numId w:val="14"/>
        </w:numPr>
      </w:pPr>
      <w:r>
        <w:t>Production Function</w:t>
      </w:r>
      <w:r w:rsidR="001F5DE2">
        <w:t xml:space="preserve"> [Y = A</w:t>
      </w:r>
      <w:r w:rsidR="007C6155">
        <w:t xml:space="preserve"> </w:t>
      </w:r>
      <w:r w:rsidR="001F5DE2">
        <w:rPr>
          <w:rFonts w:cs="Times New Roman"/>
        </w:rPr>
        <w:t>∙</w:t>
      </w:r>
      <w:r w:rsidR="007C6155">
        <w:rPr>
          <w:rFonts w:cs="Times New Roman"/>
        </w:rPr>
        <w:t xml:space="preserve"> </w:t>
      </w:r>
      <w:r w:rsidR="001F5DE2">
        <w:t>F(K,</w:t>
      </w:r>
      <w:r w:rsidR="007C6155">
        <w:t xml:space="preserve"> </w:t>
      </w:r>
      <w:r w:rsidR="001F5DE2">
        <w:t>L,</w:t>
      </w:r>
      <w:r w:rsidR="007C6155">
        <w:t xml:space="preserve"> </w:t>
      </w:r>
      <w:r w:rsidR="001F5DE2">
        <w:t>H,</w:t>
      </w:r>
      <w:r w:rsidR="007C6155">
        <w:t xml:space="preserve"> </w:t>
      </w:r>
      <w:r w:rsidR="001F5DE2">
        <w:t xml:space="preserve">N)] 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 xml:space="preserve">Long Run: 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 xml:space="preserve">Short Run: </w:t>
      </w:r>
    </w:p>
    <w:p w:rsidR="003971FC" w:rsidRDefault="003971FC" w:rsidP="00AB4825">
      <w:pPr>
        <w:pStyle w:val="NoSpacing"/>
      </w:pPr>
    </w:p>
    <w:p w:rsidR="00487932" w:rsidRPr="00487932" w:rsidRDefault="00487932" w:rsidP="00AB4825">
      <w:pPr>
        <w:pStyle w:val="NoSpacing"/>
      </w:pPr>
      <w:r>
        <w:rPr>
          <w:b/>
        </w:rPr>
        <w:t>Stagflation</w:t>
      </w:r>
      <w:r>
        <w:t xml:space="preserve">: </w:t>
      </w:r>
    </w:p>
    <w:p w:rsidR="00487932" w:rsidRDefault="00487932" w:rsidP="00AB4825">
      <w:pPr>
        <w:pStyle w:val="NoSpacing"/>
      </w:pPr>
    </w:p>
    <w:p w:rsidR="003971FC" w:rsidRDefault="003971FC" w:rsidP="00AB4825">
      <w:pPr>
        <w:pStyle w:val="NoSpacing"/>
      </w:pPr>
      <w:r>
        <w:rPr>
          <w:b/>
        </w:rPr>
        <w:t>Liquidity Preference Theory</w:t>
      </w:r>
      <w:r w:rsidR="007D5F07">
        <w:t xml:space="preserve">: </w:t>
      </w:r>
    </w:p>
    <w:p w:rsidR="007E06BD" w:rsidRDefault="007E06BD" w:rsidP="00AB4825">
      <w:pPr>
        <w:pStyle w:val="NoSpacing"/>
      </w:pPr>
    </w:p>
    <w:p w:rsidR="000B051C" w:rsidRDefault="000B051C" w:rsidP="00AB4825">
      <w:pPr>
        <w:pStyle w:val="NoSpacing"/>
      </w:pPr>
      <w:r>
        <w:rPr>
          <w:b/>
        </w:rPr>
        <w:t>Long-Run Aggregate Supply (LRAS)</w:t>
      </w:r>
      <w:r>
        <w:t xml:space="preserve">: </w:t>
      </w:r>
      <w:r w:rsidRPr="000B051C">
        <w:rPr>
          <w:position w:val="-4"/>
        </w:rPr>
        <w:object w:dxaOrig="220" w:dyaOrig="320">
          <v:shape id="_x0000_i1034" type="#_x0000_t75" style="width:11.1pt;height:15.8pt" o:ole="">
            <v:imagedata r:id="rId24" o:title=""/>
          </v:shape>
          <o:OLEObject Type="Embed" ProgID="Equation.DSMT4" ShapeID="_x0000_i1034" DrawAspect="Content" ObjectID="_1447482190" r:id="rId25"/>
        </w:object>
      </w:r>
    </w:p>
    <w:p w:rsidR="00F97C22" w:rsidRPr="000B051C" w:rsidRDefault="00F97C22" w:rsidP="00AB4825">
      <w:pPr>
        <w:pStyle w:val="NoSpacing"/>
      </w:pPr>
      <w:r w:rsidRPr="00F97C22">
        <w:rPr>
          <w:position w:val="-14"/>
        </w:rPr>
        <w:object w:dxaOrig="2140" w:dyaOrig="400">
          <v:shape id="_x0000_i1035" type="#_x0000_t75" style="width:106.8pt;height:20.2pt" o:ole="">
            <v:imagedata r:id="rId26" o:title=""/>
          </v:shape>
          <o:OLEObject Type="Embed" ProgID="Equation.DSMT4" ShapeID="_x0000_i1035" DrawAspect="Content" ObjectID="_1447482191" r:id="rId27"/>
        </w:object>
      </w:r>
    </w:p>
    <w:p w:rsidR="000B051C" w:rsidRDefault="000B051C" w:rsidP="00AB4825">
      <w:pPr>
        <w:pStyle w:val="NoSpacing"/>
      </w:pPr>
    </w:p>
    <w:p w:rsidR="007E06BD" w:rsidRDefault="007E06BD" w:rsidP="00AB4825">
      <w:pPr>
        <w:pStyle w:val="NoSpacing"/>
      </w:pPr>
      <w:r>
        <w:rPr>
          <w:b/>
        </w:rPr>
        <w:t>Short-Run Aggregate Supply (SRAS)</w:t>
      </w:r>
      <w:r w:rsidR="000B051C">
        <w:t>:</w:t>
      </w:r>
      <w:r w:rsidR="007C5567">
        <w:t xml:space="preserve"> </w:t>
      </w:r>
    </w:p>
    <w:p w:rsidR="007C5567" w:rsidRDefault="008167F4" w:rsidP="000B051C">
      <w:pPr>
        <w:pStyle w:val="NoSpacing"/>
        <w:numPr>
          <w:ilvl w:val="0"/>
          <w:numId w:val="16"/>
        </w:numPr>
      </w:pPr>
      <w:r w:rsidRPr="008167F4">
        <w:rPr>
          <w:position w:val="-92"/>
        </w:rPr>
        <w:object w:dxaOrig="2140" w:dyaOrig="1960">
          <v:shape id="_x0000_i1036" type="#_x0000_t75" style="width:106.8pt;height:98.1pt" o:ole="">
            <v:imagedata r:id="rId28" o:title=""/>
          </v:shape>
          <o:OLEObject Type="Embed" ProgID="Equation.DSMT4" ShapeID="_x0000_i1036" DrawAspect="Content" ObjectID="_1447482192" r:id="rId29"/>
        </w:object>
      </w:r>
    </w:p>
    <w:p w:rsidR="007C5567" w:rsidRDefault="007C5567" w:rsidP="007C5567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7C5567" w:rsidRDefault="007C5567" w:rsidP="007C5567">
      <w:pPr>
        <w:pStyle w:val="NoSpacing"/>
        <w:numPr>
          <w:ilvl w:val="1"/>
          <w:numId w:val="16"/>
        </w:numPr>
      </w:pPr>
      <w:r>
        <w:rPr>
          <w:i/>
        </w:rPr>
        <w:t>P</w:t>
      </w:r>
      <w:r>
        <w:rPr>
          <w:i/>
          <w:vertAlign w:val="superscript"/>
        </w:rPr>
        <w:t>e</w:t>
      </w:r>
      <w:r>
        <w:t xml:space="preserve"> is the expected price level</w:t>
      </w:r>
    </w:p>
    <w:p w:rsidR="00BE62DD" w:rsidRPr="00BE62DD" w:rsidRDefault="00BE62DD" w:rsidP="007C5567">
      <w:pPr>
        <w:pStyle w:val="NoSpacing"/>
        <w:numPr>
          <w:ilvl w:val="1"/>
          <w:numId w:val="16"/>
        </w:numPr>
        <w:rPr>
          <w:u w:val="single"/>
        </w:rPr>
      </w:pPr>
      <w:r w:rsidRPr="00BE62DD">
        <w:rPr>
          <w:u w:val="single"/>
        </w:rPr>
        <w:t>What is the behaviour of P when P</w:t>
      </w:r>
      <w:r w:rsidRPr="00BE62DD">
        <w:rPr>
          <w:u w:val="single"/>
          <w:vertAlign w:val="superscript"/>
        </w:rPr>
        <w:t>e</w:t>
      </w:r>
      <w:r w:rsidRPr="00BE62DD">
        <w:rPr>
          <w:u w:val="single"/>
        </w:rPr>
        <w:t xml:space="preserve"> increases? decreases?</w:t>
      </w:r>
    </w:p>
    <w:p w:rsidR="000B051C" w:rsidRDefault="000B051C" w:rsidP="000B051C">
      <w:pPr>
        <w:pStyle w:val="NoSpacing"/>
        <w:numPr>
          <w:ilvl w:val="0"/>
          <w:numId w:val="16"/>
        </w:numPr>
      </w:pPr>
      <w:r>
        <w:t>Positively-sloped because: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Sticky Wage Theory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Sticky Price Theory</w:t>
      </w:r>
    </w:p>
    <w:p w:rsidR="000B051C" w:rsidRDefault="000B051C" w:rsidP="000B051C">
      <w:pPr>
        <w:pStyle w:val="NoSpacing"/>
        <w:numPr>
          <w:ilvl w:val="1"/>
          <w:numId w:val="16"/>
        </w:numPr>
      </w:pPr>
      <w:r>
        <w:t>Misperceptions theory</w:t>
      </w:r>
    </w:p>
    <w:p w:rsidR="000B051C" w:rsidRDefault="000B051C" w:rsidP="000B051C">
      <w:pPr>
        <w:pStyle w:val="NoSpacing"/>
        <w:numPr>
          <w:ilvl w:val="0"/>
          <w:numId w:val="16"/>
        </w:numPr>
      </w:pPr>
      <w:r>
        <w:t>Shifts when LRAS curve shifts or expectations of price level changes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t>Chapter 15</w:t>
      </w:r>
    </w:p>
    <w:p w:rsidR="00F5428E" w:rsidRDefault="00F5428E" w:rsidP="00F5428E">
      <w:pPr>
        <w:pStyle w:val="NoSpacing"/>
      </w:pPr>
      <w:r>
        <w:t>2 Types of Equilibrium:</w:t>
      </w:r>
    </w:p>
    <w:p w:rsidR="00F5428E" w:rsidRDefault="00F5428E" w:rsidP="00F5428E">
      <w:pPr>
        <w:pStyle w:val="NoSpacing"/>
      </w:pPr>
    </w:p>
    <w:p w:rsidR="00F5428E" w:rsidRDefault="00F5428E" w:rsidP="00F5428E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F5428E" w:rsidRDefault="00F5428E" w:rsidP="00F5428E">
      <w:pPr>
        <w:pStyle w:val="NoSpacing"/>
      </w:pPr>
      <w:r>
        <w:rPr>
          <w:b/>
        </w:rPr>
        <w:t>Monetary Policy</w:t>
      </w:r>
      <w:r>
        <w:t>: changes in money supply</w:t>
      </w:r>
    </w:p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7" type="#_x0000_t75" style="width:106.8pt;height:26.1pt" o:ole="">
            <v:imagedata r:id="rId30" o:title=""/>
          </v:shape>
          <o:OLEObject Type="Embed" ProgID="Equation.DSMT4" ShapeID="_x0000_i1037" DrawAspect="Content" ObjectID="_1447482193" r:id="rId31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38" type="#_x0000_t75" style="width:90.2pt;height:20.95pt" o:ole="">
            <v:imagedata r:id="rId32" o:title=""/>
          </v:shape>
          <o:OLEObject Type="Embed" ProgID="Equation.DSMT4" ShapeID="_x0000_i1038" DrawAspect="Content" ObjectID="_1447482194" r:id="rId33"/>
        </w:object>
      </w:r>
    </w:p>
    <w:p w:rsidR="00FB3E2C" w:rsidRDefault="00FB3E2C" w:rsidP="00FB3E2C">
      <w:pPr>
        <w:pStyle w:val="NoSpacing"/>
      </w:pPr>
      <w:r>
        <w:t>LRAS</w:t>
      </w:r>
      <w:proofErr w:type="gramStart"/>
      <w:r>
        <w:t>:</w:t>
      </w:r>
      <w:proofErr w:type="gramEnd"/>
      <w:r w:rsidRPr="00FB3E2C">
        <w:rPr>
          <w:position w:val="-14"/>
        </w:rPr>
        <w:object w:dxaOrig="2140" w:dyaOrig="400">
          <v:shape id="_x0000_i1039" type="#_x0000_t75" style="width:106.8pt;height:20.2pt" o:ole="">
            <v:imagedata r:id="rId34" o:title=""/>
          </v:shape>
          <o:OLEObject Type="Embed" ProgID="Equation.DSMT4" ShapeID="_x0000_i1039" DrawAspect="Content" ObjectID="_1447482195" r:id="rId35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 xml:space="preserve">: ΔG OR </w:t>
      </w:r>
      <w:proofErr w:type="spellStart"/>
      <w:r>
        <w:t>ΔConsumptionTaxes</w:t>
      </w:r>
      <w:proofErr w:type="spellEnd"/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lastRenderedPageBreak/>
        <w:t>MPC</w:t>
      </w:r>
      <w:r>
        <w:t xml:space="preserve">: </w:t>
      </w:r>
      <w:r>
        <w:t>Marginal propensity to consume</w:t>
      </w:r>
      <w:r>
        <w:t>; ratio of household consumption to saving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 = 1</w:t>
      </w:r>
      <w:proofErr w:type="gramStart"/>
      <w:r>
        <w:t>/(</w:t>
      </w:r>
      <w:proofErr w:type="gramEnd"/>
      <w:r>
        <w:t>1 – MPC)</w:t>
      </w:r>
    </w:p>
    <w:p w:rsidR="00AA5DF4" w:rsidRDefault="00AA5DF4" w:rsidP="00AA5DF4">
      <w:pPr>
        <w:pStyle w:val="NoSpacing"/>
      </w:pPr>
    </w:p>
    <w:p w:rsidR="00AA5DF4" w:rsidRPr="00FC5815" w:rsidRDefault="00AA5DF4" w:rsidP="00AA5DF4">
      <w:pPr>
        <w:pStyle w:val="NoSpacing"/>
      </w:pPr>
      <w:bookmarkStart w:id="0" w:name="_GoBack"/>
      <w:proofErr w:type="spellStart"/>
      <w:r w:rsidRPr="00AA5DF4">
        <w:rPr>
          <w:b/>
        </w:rPr>
        <w:t>Contractionary</w:t>
      </w:r>
      <w:bookmarkEnd w:id="0"/>
      <w:proofErr w:type="spellEnd"/>
      <w:r>
        <w:t xml:space="preserve">: fiscal </w:t>
      </w:r>
      <w:proofErr w:type="spellStart"/>
      <w:r>
        <w:t>policty</w:t>
      </w:r>
      <w:proofErr w:type="spellEnd"/>
      <w:r>
        <w:t xml:space="preserve"> that decreases AD</w:t>
      </w:r>
    </w:p>
    <w:p w:rsidR="00AA5DF4" w:rsidRDefault="00AA5DF4" w:rsidP="00E559D5">
      <w:pPr>
        <w:pStyle w:val="NoSpacing"/>
      </w:pP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16"/>
  </w:num>
  <w:num w:numId="8">
    <w:abstractNumId w:val="0"/>
  </w:num>
  <w:num w:numId="9">
    <w:abstractNumId w:val="4"/>
  </w:num>
  <w:num w:numId="10">
    <w:abstractNumId w:val="15"/>
  </w:num>
  <w:num w:numId="11">
    <w:abstractNumId w:val="10"/>
  </w:num>
  <w:num w:numId="12">
    <w:abstractNumId w:val="1"/>
  </w:num>
  <w:num w:numId="13">
    <w:abstractNumId w:val="7"/>
  </w:num>
  <w:num w:numId="14">
    <w:abstractNumId w:val="5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10A47"/>
    <w:rsid w:val="0003105C"/>
    <w:rsid w:val="00045F2C"/>
    <w:rsid w:val="000552DA"/>
    <w:rsid w:val="00060049"/>
    <w:rsid w:val="00063D19"/>
    <w:rsid w:val="0007323E"/>
    <w:rsid w:val="000744CA"/>
    <w:rsid w:val="00080859"/>
    <w:rsid w:val="000874CD"/>
    <w:rsid w:val="000979B4"/>
    <w:rsid w:val="000A327B"/>
    <w:rsid w:val="000B051C"/>
    <w:rsid w:val="000B18C4"/>
    <w:rsid w:val="000B4611"/>
    <w:rsid w:val="000B4866"/>
    <w:rsid w:val="000B6C92"/>
    <w:rsid w:val="000C6675"/>
    <w:rsid w:val="000D4FE3"/>
    <w:rsid w:val="000D5A97"/>
    <w:rsid w:val="000E0478"/>
    <w:rsid w:val="000E2453"/>
    <w:rsid w:val="000E5A92"/>
    <w:rsid w:val="000E66C7"/>
    <w:rsid w:val="000E6EFC"/>
    <w:rsid w:val="000F27C5"/>
    <w:rsid w:val="000F2C15"/>
    <w:rsid w:val="00100BD5"/>
    <w:rsid w:val="0010224C"/>
    <w:rsid w:val="001108B4"/>
    <w:rsid w:val="001119C4"/>
    <w:rsid w:val="00111F83"/>
    <w:rsid w:val="00114CD0"/>
    <w:rsid w:val="00120D55"/>
    <w:rsid w:val="00121726"/>
    <w:rsid w:val="001232CC"/>
    <w:rsid w:val="00126192"/>
    <w:rsid w:val="00126843"/>
    <w:rsid w:val="00132D6D"/>
    <w:rsid w:val="00141662"/>
    <w:rsid w:val="0014287D"/>
    <w:rsid w:val="00154378"/>
    <w:rsid w:val="001547EF"/>
    <w:rsid w:val="0016179A"/>
    <w:rsid w:val="0016179C"/>
    <w:rsid w:val="00167C4C"/>
    <w:rsid w:val="00167F3F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35119"/>
    <w:rsid w:val="0024696A"/>
    <w:rsid w:val="002546F9"/>
    <w:rsid w:val="00254DB6"/>
    <w:rsid w:val="00255521"/>
    <w:rsid w:val="00290D90"/>
    <w:rsid w:val="002955C6"/>
    <w:rsid w:val="002A3117"/>
    <w:rsid w:val="002B5E53"/>
    <w:rsid w:val="002C16DD"/>
    <w:rsid w:val="002C2639"/>
    <w:rsid w:val="002D0C3F"/>
    <w:rsid w:val="002D2738"/>
    <w:rsid w:val="002E17F6"/>
    <w:rsid w:val="002E4C2D"/>
    <w:rsid w:val="002F2675"/>
    <w:rsid w:val="002F4113"/>
    <w:rsid w:val="00305913"/>
    <w:rsid w:val="003144B0"/>
    <w:rsid w:val="00324A7F"/>
    <w:rsid w:val="00333AF1"/>
    <w:rsid w:val="0033550D"/>
    <w:rsid w:val="00362843"/>
    <w:rsid w:val="00364D58"/>
    <w:rsid w:val="00366488"/>
    <w:rsid w:val="0036749C"/>
    <w:rsid w:val="00371C58"/>
    <w:rsid w:val="00386435"/>
    <w:rsid w:val="0039327E"/>
    <w:rsid w:val="003971FC"/>
    <w:rsid w:val="003A015A"/>
    <w:rsid w:val="003A24F5"/>
    <w:rsid w:val="003A2F26"/>
    <w:rsid w:val="003B2CBF"/>
    <w:rsid w:val="003B56AC"/>
    <w:rsid w:val="003B5A45"/>
    <w:rsid w:val="003D0C96"/>
    <w:rsid w:val="003D1523"/>
    <w:rsid w:val="003E1B22"/>
    <w:rsid w:val="003E75E0"/>
    <w:rsid w:val="003F17B2"/>
    <w:rsid w:val="003F1AFE"/>
    <w:rsid w:val="003F56AB"/>
    <w:rsid w:val="00400693"/>
    <w:rsid w:val="00417A44"/>
    <w:rsid w:val="0042044B"/>
    <w:rsid w:val="00420A5B"/>
    <w:rsid w:val="004267BD"/>
    <w:rsid w:val="00426FDA"/>
    <w:rsid w:val="00434673"/>
    <w:rsid w:val="00446F98"/>
    <w:rsid w:val="004519C0"/>
    <w:rsid w:val="0047218E"/>
    <w:rsid w:val="004723D9"/>
    <w:rsid w:val="00487932"/>
    <w:rsid w:val="004901D0"/>
    <w:rsid w:val="004915A0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24F7D"/>
    <w:rsid w:val="00535BFD"/>
    <w:rsid w:val="005416E5"/>
    <w:rsid w:val="00544B55"/>
    <w:rsid w:val="005505D8"/>
    <w:rsid w:val="0056377B"/>
    <w:rsid w:val="005655A2"/>
    <w:rsid w:val="00566361"/>
    <w:rsid w:val="00566D38"/>
    <w:rsid w:val="00567A0E"/>
    <w:rsid w:val="0058083D"/>
    <w:rsid w:val="00585741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209F1"/>
    <w:rsid w:val="00635AE9"/>
    <w:rsid w:val="00644767"/>
    <w:rsid w:val="00657098"/>
    <w:rsid w:val="00671638"/>
    <w:rsid w:val="00676D99"/>
    <w:rsid w:val="00684030"/>
    <w:rsid w:val="00684E6A"/>
    <w:rsid w:val="00693D34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40D6E"/>
    <w:rsid w:val="00746053"/>
    <w:rsid w:val="00764506"/>
    <w:rsid w:val="00786548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E06BD"/>
    <w:rsid w:val="007E0DCF"/>
    <w:rsid w:val="00802AA5"/>
    <w:rsid w:val="00806E60"/>
    <w:rsid w:val="008115FD"/>
    <w:rsid w:val="0081245C"/>
    <w:rsid w:val="008167F4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630B"/>
    <w:rsid w:val="009A1F8A"/>
    <w:rsid w:val="009A3C48"/>
    <w:rsid w:val="009C55AD"/>
    <w:rsid w:val="009D68A5"/>
    <w:rsid w:val="009E3611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74BF5"/>
    <w:rsid w:val="00A83A09"/>
    <w:rsid w:val="00A84679"/>
    <w:rsid w:val="00A91405"/>
    <w:rsid w:val="00A92C8B"/>
    <w:rsid w:val="00AA5DF4"/>
    <w:rsid w:val="00AA6831"/>
    <w:rsid w:val="00AA6E3E"/>
    <w:rsid w:val="00AB0BAC"/>
    <w:rsid w:val="00AB4825"/>
    <w:rsid w:val="00AB492E"/>
    <w:rsid w:val="00AC5C83"/>
    <w:rsid w:val="00AD097F"/>
    <w:rsid w:val="00AF2463"/>
    <w:rsid w:val="00B00273"/>
    <w:rsid w:val="00B06E06"/>
    <w:rsid w:val="00B1182F"/>
    <w:rsid w:val="00B16440"/>
    <w:rsid w:val="00B207D2"/>
    <w:rsid w:val="00B256A8"/>
    <w:rsid w:val="00B352CD"/>
    <w:rsid w:val="00B47869"/>
    <w:rsid w:val="00B576F2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4226"/>
    <w:rsid w:val="00BE5913"/>
    <w:rsid w:val="00BE62DD"/>
    <w:rsid w:val="00BF2E0C"/>
    <w:rsid w:val="00BF3F9E"/>
    <w:rsid w:val="00C13EE9"/>
    <w:rsid w:val="00C215C1"/>
    <w:rsid w:val="00C2744D"/>
    <w:rsid w:val="00C43B2D"/>
    <w:rsid w:val="00C469EB"/>
    <w:rsid w:val="00C52E8A"/>
    <w:rsid w:val="00C61DA8"/>
    <w:rsid w:val="00C6442E"/>
    <w:rsid w:val="00C67A70"/>
    <w:rsid w:val="00C72784"/>
    <w:rsid w:val="00C80821"/>
    <w:rsid w:val="00C81E79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366EE"/>
    <w:rsid w:val="00D546A2"/>
    <w:rsid w:val="00D55B0C"/>
    <w:rsid w:val="00D575B8"/>
    <w:rsid w:val="00D6247E"/>
    <w:rsid w:val="00D667BC"/>
    <w:rsid w:val="00D67124"/>
    <w:rsid w:val="00D67590"/>
    <w:rsid w:val="00D73EEA"/>
    <w:rsid w:val="00D871C0"/>
    <w:rsid w:val="00D90DB7"/>
    <w:rsid w:val="00D971B6"/>
    <w:rsid w:val="00DA6CB9"/>
    <w:rsid w:val="00DB4143"/>
    <w:rsid w:val="00DC634C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4652"/>
    <w:rsid w:val="00E201AA"/>
    <w:rsid w:val="00E20D0A"/>
    <w:rsid w:val="00E24F6A"/>
    <w:rsid w:val="00E252ED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1506"/>
    <w:rsid w:val="00EF3017"/>
    <w:rsid w:val="00F15F4C"/>
    <w:rsid w:val="00F22F1E"/>
    <w:rsid w:val="00F242D2"/>
    <w:rsid w:val="00F26E21"/>
    <w:rsid w:val="00F27215"/>
    <w:rsid w:val="00F32A90"/>
    <w:rsid w:val="00F4102E"/>
    <w:rsid w:val="00F42A42"/>
    <w:rsid w:val="00F44AAF"/>
    <w:rsid w:val="00F47889"/>
    <w:rsid w:val="00F5428E"/>
    <w:rsid w:val="00F633C0"/>
    <w:rsid w:val="00F733CE"/>
    <w:rsid w:val="00F73BC1"/>
    <w:rsid w:val="00F773B2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10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369</cp:revision>
  <dcterms:created xsi:type="dcterms:W3CDTF">2013-09-13T22:26:00Z</dcterms:created>
  <dcterms:modified xsi:type="dcterms:W3CDTF">2013-12-02T14:04:00Z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