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>Note: R might be on the final :$</w:t>
      </w:r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r w:rsidRPr="00445B90">
        <w:rPr>
          <w:b/>
        </w:rPr>
        <w:t>Univariate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r>
        <w:rPr>
          <w:b/>
        </w:rPr>
        <w:t>Unimodal</w:t>
      </w:r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r>
        <w:rPr>
          <w:b/>
        </w:rPr>
        <w:t>unskewed</w:t>
      </w:r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r>
        <w:rPr>
          <w:b/>
        </w:rPr>
        <w:t>range</w:t>
      </w:r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r>
        <w:t xml:space="preserve"> are the values</w:t>
      </w:r>
    </w:p>
    <w:p w:rsidR="00DB0675" w:rsidRDefault="009A297F" w:rsidP="00CA1C51">
      <w:pPr>
        <w:pStyle w:val="NoSpacing"/>
      </w:pPr>
      <w:r w:rsidRPr="009A297F">
        <w:rPr>
          <w:i/>
        </w:rPr>
        <w:t>n</w:t>
      </w:r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 xml:space="preserve">.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221011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221012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221013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221014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221015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r>
        <w:rPr>
          <w:b/>
        </w:rPr>
        <w:t>s.d.</w:t>
      </w:r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>Larger s.d.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>i.e. when all values are the same, s.d.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221016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r w:rsidR="00AF187F">
        <w:t>outcomes</w:t>
      </w:r>
      <w:r w:rsidRPr="00885A51">
        <w:rPr>
          <w:vertAlign w:val="superscript"/>
        </w:rPr>
        <w:t>events</w:t>
      </w:r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r>
        <w:t>N(A):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221017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FFS, …}</w:t>
      </w:r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P(A)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221018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221019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221020" r:id="rId31"/>
        </w:object>
      </w:r>
    </w:p>
    <w:p w:rsidR="009151F7" w:rsidRPr="009151F7" w:rsidRDefault="009151F7" w:rsidP="007B3911">
      <w:pPr>
        <w:pStyle w:val="NoSpacing"/>
      </w:pPr>
      <w:r>
        <w:rPr>
          <w:b/>
        </w:rPr>
        <w:t>Bayes’</w:t>
      </w:r>
      <w:r w:rsidR="00266A53">
        <w:rPr>
          <w:b/>
        </w:rPr>
        <w:t>s</w:t>
      </w:r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221021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221022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221023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221024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221025" r:id="rId41"/>
        </w:object>
      </w:r>
      <w:r>
        <w:t>,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221026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r>
        <w:rPr>
          <w:b/>
        </w:rPr>
        <w:t>r</w:t>
      </w:r>
      <w:r w:rsidR="00FB533A">
        <w:rPr>
          <w:b/>
        </w:rPr>
        <w:t>v</w:t>
      </w:r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>have the same letter as the rv,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(pmf)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221027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rv’s</w:t>
      </w:r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221028" r:id="rId48"/>
        </w:object>
      </w:r>
    </w:p>
    <w:p w:rsidR="00030F7E" w:rsidRDefault="00AA19EC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221029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221030" r:id="rId52"/>
        </w:object>
      </w:r>
    </w:p>
    <w:p w:rsidR="00030F7E" w:rsidRDefault="00030F7E" w:rsidP="003408DB">
      <w:pPr>
        <w:pStyle w:val="NoSpacing"/>
      </w:pPr>
    </w:p>
    <w:p w:rsidR="003408DB" w:rsidRDefault="00AA19EC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221031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the population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221032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r>
        <w:rPr>
          <w:b/>
        </w:rPr>
        <w:t xml:space="preserve">Hypergeometric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221033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221034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221035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221036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221037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>: time between events, whereas poisson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221038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221039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054" type="#_x0000_t75" style="width:120.9pt;height:26.1pt" o:ole="">
            <v:imagedata r:id="rId71" o:title=""/>
          </v:shape>
          <o:OLEObject Type="Embed" ProgID="Equation.DSMT4" ShapeID="_x0000_i1054" DrawAspect="Content" ObjectID="_1448221040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5" type="#_x0000_t75" style="width:129pt;height:25.8pt" o:ole="">
            <v:imagedata r:id="rId73" o:title=""/>
          </v:shape>
          <o:OLEObject Type="Embed" ProgID="Equation.DSMT4" ShapeID="_x0000_i1055" DrawAspect="Content" ObjectID="_1448221041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6" type="#_x0000_t75" style="width:126.3pt;height:51.6pt;mso-position-vertical:absolute" o:ole="" o:allowoverlap="f">
            <v:imagedata r:id="rId75" o:title=""/>
          </v:shape>
          <o:OLEObject Type="Embed" ProgID="Equation.DSMT4" ShapeID="_x0000_i1056" DrawAspect="Content" ObjectID="_1448221042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r w:rsidRPr="00FA4B75">
          <w:rPr>
            <w:rStyle w:val="Hyperlink"/>
          </w:rPr>
          <w:t>cdf</w:t>
        </w:r>
      </w:hyperlink>
      <w:r>
        <w:t xml:space="preserve">, take the derivative of the </w:t>
      </w:r>
      <w:hyperlink w:anchor="_CDF" w:history="1">
        <w:r w:rsidRPr="00FA4B75">
          <w:rPr>
            <w:rStyle w:val="Hyperlink"/>
          </w:rPr>
          <w:t>cdf</w:t>
        </w:r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7" type="#_x0000_t75" style="width:69.9pt;height:20.1pt" o:ole="">
            <v:imagedata r:id="rId79" o:title=""/>
          </v:shape>
          <o:OLEObject Type="Embed" ProgID="Equation.DSMT4" ShapeID="_x0000_i1057" DrawAspect="Content" ObjectID="_1448221043" r:id="rId80"/>
        </w:object>
      </w:r>
    </w:p>
    <w:p w:rsidR="00F634C7" w:rsidRDefault="00D7437F" w:rsidP="00D7437F">
      <w:pPr>
        <w:pStyle w:val="Heading2"/>
      </w:pPr>
      <w:r>
        <w:t>Percentile</w:t>
      </w: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8" type="#_x0000_t75" style="width:142.2pt;height:25.8pt" o:ole="">
            <v:imagedata r:id="rId81" o:title=""/>
          </v:shape>
          <o:OLEObject Type="Embed" ProgID="Equation.DSMT4" ShapeID="_x0000_i1058" DrawAspect="Content" ObjectID="_1448221044" r:id="rId82"/>
        </w:object>
      </w: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9" type="#_x0000_t75" style="width:58.8pt;height:39.9pt" o:ole="">
            <v:imagedata r:id="rId83" o:title=""/>
          </v:shape>
          <o:OLEObject Type="Embed" ProgID="Equation.DSMT4" ShapeID="_x0000_i1059" DrawAspect="Content" ObjectID="_1448221045" r:id="rId84"/>
        </w:object>
      </w:r>
    </w:p>
    <w:p w:rsidR="00B7607F" w:rsidRDefault="00B7607F" w:rsidP="004A57D8">
      <w:pPr>
        <w:pStyle w:val="NoSpacing"/>
      </w:pPr>
      <w:r>
        <w:t>This can be used to determine the probability</w:t>
      </w: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r>
        <w:t>symmetric;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60" type="#_x0000_t75" style="width:166.2pt;height:35.4pt" o:ole="">
            <v:imagedata r:id="rId85" o:title=""/>
          </v:shape>
          <o:OLEObject Type="Embed" ProgID="Equation.DSMT4" ShapeID="_x0000_i1060" DrawAspect="Content" ObjectID="_1448221046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>ample means will be bell-shaped; s.d. = population s.d./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657267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</w:hyperlink>
      <w:r w:rsidR="00016634">
        <w:t xml:space="preserve"> that </w:t>
      </w:r>
      <w:r w:rsidR="00737CC3">
        <w:t>you use to predict data</w:t>
      </w:r>
    </w:p>
    <w:p w:rsidR="00657267" w:rsidRDefault="00657267" w:rsidP="00737CC3">
      <w:pPr>
        <w:pStyle w:val="NoSpacing"/>
        <w:numPr>
          <w:ilvl w:val="0"/>
          <w:numId w:val="29"/>
        </w:numPr>
      </w:pPr>
      <w:r>
        <w:t>z</w:t>
      </w:r>
      <w:r>
        <w:rPr>
          <w:vertAlign w:val="subscript"/>
        </w:rPr>
        <w:t>c</w:t>
      </w:r>
      <w:r>
        <w:t>: critical value; this is also the area of the graph from 0 to c, where c is a point on the z-graph</w:t>
      </w:r>
    </w:p>
    <w:p w:rsidR="00CE119F" w:rsidRDefault="00657267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200" w:dyaOrig="620">
          <v:shape id="_x0000_i1061" type="#_x0000_t75" style="width:60.3pt;height:31.2pt" o:ole="">
            <v:imagedata r:id="rId89" o:title=""/>
          </v:shape>
          <o:OLEObject Type="Embed" ProgID="Equation.DSMT4" ShapeID="_x0000_i1061" DrawAspect="Content" ObjectID="_1448221047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>It’s horizontal units are s.d.’s</w:t>
      </w:r>
    </w:p>
    <w:p w:rsidR="006014D5" w:rsidRDefault="006014D5" w:rsidP="00532702">
      <w:pPr>
        <w:pStyle w:val="NoSpacing"/>
      </w:pPr>
      <w:r>
        <w:t>If you’re given a probability</w:t>
      </w:r>
      <w:r w:rsidR="00E548E1">
        <w:t xml:space="preserve"> (or percentile)</w:t>
      </w:r>
      <w:r>
        <w:t>, yo</w:t>
      </w:r>
      <w:r w:rsidR="00E548E1">
        <w:t xml:space="preserve">u find the value on the z-table, where the probability represents </w:t>
      </w:r>
      <w:r w:rsidR="00CD49DD">
        <w:t>α</w:t>
      </w:r>
      <w:r w:rsidR="00E548E1">
        <w:t xml:space="preserve"> </w:t>
      </w:r>
      <w:r>
        <w:t xml:space="preserve">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17B87" w:rsidP="00532702">
      <w:pPr>
        <w:pStyle w:val="NoSpacing"/>
      </w:pPr>
      <w:r w:rsidRPr="00D65B67">
        <w:rPr>
          <w:position w:val="-28"/>
        </w:rPr>
        <w:object w:dxaOrig="1400" w:dyaOrig="660">
          <v:shape id="_x0000_i1062" type="#_x0000_t75" style="width:70.5pt;height:32.7pt" o:ole="">
            <v:imagedata r:id="rId91" o:title=""/>
          </v:shape>
          <o:OLEObject Type="Embed" ProgID="Equation.DSMT4" ShapeID="_x0000_i1062" DrawAspect="Content" ObjectID="_1448221048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3" type="#_x0000_t75" style="width:106.2pt;height:31.2pt" o:ole="">
            <v:imagedata r:id="rId93" o:title=""/>
          </v:shape>
          <o:OLEObject Type="Embed" ProgID="Equation.DSMT4" ShapeID="_x0000_i1063" DrawAspect="Content" ObjectID="_1448221049" r:id="rId94"/>
        </w:object>
      </w:r>
    </w:p>
    <w:p w:rsidR="002B698B" w:rsidRDefault="002B698B" w:rsidP="004A57D8">
      <w:pPr>
        <w:pStyle w:val="NoSpacing"/>
      </w:pPr>
    </w:p>
    <w:p w:rsidR="00CF2540" w:rsidRDefault="00723A06" w:rsidP="004A57D8">
      <w:pPr>
        <w:pStyle w:val="NoSpacing"/>
      </w:pPr>
      <w:r w:rsidRPr="00750A59">
        <w:rPr>
          <w:i/>
        </w:rPr>
        <w:t>α</w:t>
      </w:r>
      <w:r>
        <w:t xml:space="preserve">-level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4" type="#_x0000_t75" style="width:74.4pt;height:20.1pt" o:ole="">
            <v:imagedata r:id="rId95" o:title=""/>
          </v:shape>
          <o:OLEObject Type="Embed" ProgID="Equation.DSMT4" ShapeID="_x0000_i1064" DrawAspect="Content" ObjectID="_1448221050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CF2540" w:rsidRDefault="00CF2540" w:rsidP="0019737E">
      <w:pPr>
        <w:pStyle w:val="NoSpacing"/>
      </w:pPr>
      <w:r>
        <w:t>When trying to find the α based on a z, make sure you round to the preferred sig figs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s.d.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s.d.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>99.7% is within 3 s.d.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r w:rsidRPr="00A85887">
          <w:rPr>
            <w:rStyle w:val="Hyperlink"/>
          </w:rPr>
          <w:t>s.d.</w:t>
        </w:r>
      </w:hyperlink>
      <w:r>
        <w:t>’s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r>
        <w:t>p ← discrete</w:t>
      </w:r>
    </w:p>
    <w:p w:rsidR="00281CB7" w:rsidRDefault="00281CB7" w:rsidP="001A49CD">
      <w:pPr>
        <w:pStyle w:val="NoSpacing"/>
      </w:pPr>
      <w:r>
        <w:t>f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5" type="#_x0000_t75" style="width:192.3pt;height:27.9pt" o:ole="">
            <v:imagedata r:id="rId97" o:title=""/>
          </v:shape>
          <o:OLEObject Type="Embed" ProgID="Equation.DSMT4" ShapeID="_x0000_i1065" DrawAspect="Content" ObjectID="_1448221051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6" type="#_x0000_t75" style="width:2in;height:27.9pt" o:ole="">
            <v:imagedata r:id="rId99" o:title=""/>
          </v:shape>
          <o:OLEObject Type="Embed" ProgID="Equation.DSMT4" ShapeID="_x0000_i1066" DrawAspect="Content" ObjectID="_1448221052" r:id="rId100"/>
        </w:object>
      </w:r>
    </w:p>
    <w:p w:rsidR="00BE3384" w:rsidRDefault="00BE3384" w:rsidP="001A49CD">
      <w:pPr>
        <w:pStyle w:val="NoSpacing"/>
      </w:pPr>
      <w:r>
        <w:t>Mean of sum of joint p</w:t>
      </w:r>
      <w:r w:rsidR="00986DC6">
        <w:t>m</w:t>
      </w:r>
      <w:r>
        <w:t>f (continuous):</w:t>
      </w:r>
      <w:r w:rsidRPr="00BE3384">
        <w:rPr>
          <w:position w:val="-18"/>
        </w:rPr>
        <w:object w:dxaOrig="3800" w:dyaOrig="520">
          <v:shape id="_x0000_i1067" type="#_x0000_t75" style="width:189.9pt;height:25.8pt" o:ole="">
            <v:imagedata r:id="rId101" o:title=""/>
          </v:shape>
          <o:OLEObject Type="Embed" ProgID="Equation.DSMT4" ShapeID="_x0000_i1067" DrawAspect="Content" ObjectID="_1448221053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8" type="#_x0000_t75" style="width:111.9pt;height:20.1pt" o:ole="">
            <v:imagedata r:id="rId103" o:title=""/>
          </v:shape>
          <o:OLEObject Type="Embed" ProgID="Equation.DSMT4" ShapeID="_x0000_i1068" DrawAspect="Content" ObjectID="_1448221054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r w:rsidR="00AA19EC">
        <w:t>IID</w:t>
      </w:r>
      <w:r>
        <w:t>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are independent r.v.’s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>: represented by the pmf,</w:t>
      </w:r>
      <w:r w:rsidRPr="00731B3D">
        <w:rPr>
          <w:position w:val="-30"/>
        </w:rPr>
        <w:object w:dxaOrig="2680" w:dyaOrig="700">
          <v:shape id="_x0000_i1069" type="#_x0000_t75" style="width:134.1pt;height:35.4pt" o:ole="">
            <v:imagedata r:id="rId105" o:title=""/>
          </v:shape>
          <o:OLEObject Type="Embed" ProgID="Equation.DSMT4" ShapeID="_x0000_i1069" DrawAspect="Content" ObjectID="_1448221055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70" type="#_x0000_t75" style="width:167.7pt;height:51.6pt" o:ole="">
            <v:imagedata r:id="rId107" o:title=""/>
          </v:shape>
          <o:OLEObject Type="Embed" ProgID="Equation.DSMT4" ShapeID="_x0000_i1070" DrawAspect="Content" ObjectID="_1448221056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71" type="#_x0000_t75" style="width:151.8pt;height:36.6pt" o:ole="">
            <v:imagedata r:id="rId109" o:title=""/>
          </v:shape>
          <o:OLEObject Type="Embed" ProgID="Equation.DSMT4" ShapeID="_x0000_i1071" DrawAspect="Content" ObjectID="_1448221057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2" type="#_x0000_t75" style="width:84pt;height:36.6pt" o:ole="">
            <v:imagedata r:id="rId111" o:title=""/>
          </v:shape>
          <o:OLEObject Type="Embed" ProgID="Equation.DSMT4" ShapeID="_x0000_i1072" DrawAspect="Content" ObjectID="_1448221058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3" type="#_x0000_t75" style="width:9.6pt;height:14.1pt" o:ole="">
            <v:imagedata r:id="rId113" o:title=""/>
          </v:shape>
          <o:OLEObject Type="Embed" ProgID="Equation.DSMT4" ShapeID="_x0000_i1073" DrawAspect="Content" ObjectID="_1448221059" r:id="rId114"/>
        </w:object>
      </w:r>
      <w:r w:rsidR="00292853">
        <w:t xml:space="preserve"> </w:t>
      </w:r>
      <w:r>
        <w:t>represents the parameter of interest</w:t>
      </w:r>
    </w:p>
    <w:p w:rsidR="006057B5" w:rsidRDefault="006057B5" w:rsidP="006057B5">
      <w:pPr>
        <w:pStyle w:val="NoSpacing"/>
      </w:pPr>
      <w:r w:rsidRPr="001C0B7B">
        <w:rPr>
          <w:position w:val="-6"/>
        </w:rPr>
        <w:object w:dxaOrig="200" w:dyaOrig="279">
          <v:shape id="_x0000_i1132" type="#_x0000_t75" style="width:9.6pt;height:14.1pt" o:ole="">
            <v:imagedata r:id="rId115" o:title=""/>
          </v:shape>
          <o:OLEObject Type="Embed" ProgID="Equation.DSMT4" ShapeID="_x0000_i1132" DrawAspect="Content" ObjectID="_1448221060" r:id="rId116"/>
        </w:object>
      </w:r>
      <w:r>
        <w:t>: variable with a hat means it is an estimate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4" type="#_x0000_t75" style="width:37.8pt;height:17.4pt" o:ole="">
            <v:imagedata r:id="rId117" o:title=""/>
          </v:shape>
          <o:OLEObject Type="Embed" ProgID="Equation.DSMT4" ShapeID="_x0000_i1074" DrawAspect="Content" ObjectID="_1448221061" r:id="rId118"/>
        </w:object>
      </w:r>
      <w:r>
        <w:t>error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>a function of the sample, i.e. rv</w:t>
      </w:r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estimate </w:t>
      </w:r>
      <w:r w:rsidR="00120ECC" w:rsidRPr="00120ECC">
        <w:rPr>
          <w:position w:val="-6"/>
        </w:rPr>
        <w:object w:dxaOrig="200" w:dyaOrig="340">
          <v:shape id="_x0000_i1075" type="#_x0000_t75" style="width:9.6pt;height:17.4pt" o:ole="">
            <v:imagedata r:id="rId119" o:title=""/>
          </v:shape>
          <o:OLEObject Type="Embed" ProgID="Equation.DSMT4" ShapeID="_x0000_i1075" DrawAspect="Content" ObjectID="_1448221062" r:id="rId120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6" type="#_x0000_t75" style="width:9.6pt;height:17.4pt" o:ole="">
            <v:imagedata r:id="rId121" o:title=""/>
          </v:shape>
          <o:OLEObject Type="Embed" ProgID="Equation.DSMT4" ShapeID="_x0000_i1076" DrawAspect="Content" ObjectID="_1448221063" r:id="rId122"/>
        </w:object>
      </w:r>
      <w:r>
        <w:t>:</w:t>
      </w:r>
      <w:r w:rsidRPr="001375B0">
        <w:rPr>
          <w:position w:val="-18"/>
        </w:rPr>
        <w:object w:dxaOrig="920" w:dyaOrig="480">
          <v:shape id="_x0000_i1077" type="#_x0000_t75" style="width:45.9pt;height:24.3pt" o:ole="">
            <v:imagedata r:id="rId123" o:title=""/>
          </v:shape>
          <o:OLEObject Type="Embed" ProgID="Equation.DSMT4" ShapeID="_x0000_i1077" DrawAspect="Content" ObjectID="_1448221064" r:id="rId124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8" type="#_x0000_t75" style="width:47.7pt;height:24.3pt" o:ole="">
            <v:imagedata r:id="rId125" o:title=""/>
          </v:shape>
          <o:OLEObject Type="Embed" ProgID="Equation.DSMT4" ShapeID="_x0000_i1078" DrawAspect="Content" ObjectID="_1448221065" r:id="rId126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9" type="#_x0000_t75" style="width:117.9pt;height:37.8pt" o:ole="">
            <v:imagedata r:id="rId127" o:title=""/>
          </v:shape>
          <o:OLEObject Type="Embed" ProgID="Equation.DSMT4" ShapeID="_x0000_i1079" DrawAspect="Content" ObjectID="_1448221066" r:id="rId128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80" type="#_x0000_t75" style="width:58.8pt;height:22.2pt" o:ole="">
            <v:imagedata r:id="rId129" o:title=""/>
          </v:shape>
          <o:OLEObject Type="Embed" ProgID="Equation.DSMT4" ShapeID="_x0000_i1080" DrawAspect="Content" ObjectID="_1448221067" r:id="rId130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θ:</w:t>
      </w:r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81" type="#_x0000_t75" style="width:25.8pt;height:15pt" o:ole="">
            <v:imagedata r:id="rId131" o:title=""/>
          </v:shape>
          <o:OLEObject Type="Embed" ProgID="Equation.DSMT4" ShapeID="_x0000_i1081" DrawAspect="Content" ObjectID="_1448221068" r:id="rId132"/>
        </w:object>
      </w:r>
    </w:p>
    <w:p w:rsidR="00BC0964" w:rsidRDefault="00825CF5" w:rsidP="006A4837">
      <w:pPr>
        <w:pStyle w:val="NoSpacing"/>
        <w:numPr>
          <w:ilvl w:val="0"/>
          <w:numId w:val="38"/>
        </w:numPr>
      </w:pPr>
      <w:r>
        <w:t>Estimated chance of success</w:t>
      </w:r>
      <w:r w:rsidRPr="0053742D">
        <w:rPr>
          <w:position w:val="-24"/>
        </w:rPr>
        <w:object w:dxaOrig="940" w:dyaOrig="620">
          <v:shape id="_x0000_i1082" type="#_x0000_t75" style="width:46.8pt;height:31.2pt" o:ole="">
            <v:imagedata r:id="rId133" o:title=""/>
          </v:shape>
          <o:OLEObject Type="Embed" ProgID="Equation.DSMT4" ShapeID="_x0000_i1082" DrawAspect="Content" ObjectID="_1448221069" r:id="rId134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3" type="#_x0000_t75" style="width:9.6pt;height:17.4pt" o:ole="">
            <v:imagedata r:id="rId135" o:title=""/>
          </v:shape>
          <o:OLEObject Type="Embed" ProgID="Equation.DSMT4" ShapeID="_x0000_i1083" DrawAspect="Content" ObjectID="_1448221070" r:id="rId136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4" type="#_x0000_t75" style="width:62.7pt;height:27.9pt" o:ole="">
            <v:imagedata r:id="rId137" o:title=""/>
          </v:shape>
          <o:OLEObject Type="Embed" ProgID="Equation.DSMT4" ShapeID="_x0000_i1084" DrawAspect="Content" ObjectID="_1448221071" r:id="rId138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5" type="#_x0000_t75" style="width:15pt;height:19.2pt" o:ole="">
            <v:imagedata r:id="rId139" o:title=""/>
          </v:shape>
          <o:OLEObject Type="Embed" ProgID="Equation.DSMT4" ShapeID="_x0000_i1085" DrawAspect="Content" ObjectID="_1448221072" r:id="rId140"/>
        </w:object>
      </w:r>
      <w:r>
        <w:t>or</w:t>
      </w:r>
      <w:r w:rsidRPr="00E12DC0">
        <w:rPr>
          <w:position w:val="-14"/>
        </w:rPr>
        <w:object w:dxaOrig="260" w:dyaOrig="380">
          <v:shape id="_x0000_i1086" type="#_x0000_t75" style="width:13.2pt;height:19.2pt" o:ole="">
            <v:imagedata r:id="rId141" o:title=""/>
          </v:shape>
          <o:OLEObject Type="Embed" ProgID="Equation.DSMT4" ShapeID="_x0000_i1086" DrawAspect="Content" ObjectID="_1448221073" r:id="rId142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7" type="#_x0000_t75" style="width:13.2pt;height:15.9pt" o:ole="">
            <v:imagedata r:id="rId143" o:title=""/>
          </v:shape>
          <o:OLEObject Type="Embed" ProgID="Equation.DSMT4" ShapeID="_x0000_i1087" DrawAspect="Content" ObjectID="_1448221074" r:id="rId144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8" type="#_x0000_t75" style="width:14.1pt;height:17.4pt" o:ole="">
            <v:imagedata r:id="rId145" o:title=""/>
          </v:shape>
          <o:OLEObject Type="Embed" ProgID="Equation.DSMT4" ShapeID="_x0000_i1088" DrawAspect="Content" ObjectID="_1448221075" r:id="rId146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9" type="#_x0000_t75" style="width:13.2pt;height:15.9pt" o:ole="">
            <v:imagedata r:id="rId143" o:title=""/>
          </v:shape>
          <o:OLEObject Type="Embed" ProgID="Equation.DSMT4" ShapeID="_x0000_i1089" DrawAspect="Content" ObjectID="_1448221076" r:id="rId147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90" type="#_x0000_t75" style="width:124.8pt;height:51.6pt" o:ole="">
            <v:imagedata r:id="rId148" o:title=""/>
          </v:shape>
          <o:OLEObject Type="Embed" ProgID="Equation.DSMT4" ShapeID="_x0000_i1090" DrawAspect="Content" ObjectID="_1448221077" r:id="rId149"/>
        </w:object>
      </w:r>
    </w:p>
    <w:p w:rsidR="00BB0444" w:rsidRDefault="00BB0444" w:rsidP="00BB0444">
      <w:pPr>
        <w:pStyle w:val="Heading3"/>
      </w:pPr>
      <w:r>
        <w:t>e.g.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r w:rsidRPr="000241F3">
        <w:t>0.4877</w:t>
      </w:r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r>
        <w:t>μ</w:t>
      </w:r>
      <w:r>
        <w:rPr>
          <w:vertAlign w:val="subscript"/>
        </w:rPr>
        <w:t>boot</w:t>
      </w:r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AA19EC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AA19EC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4" w:name="_Method_of_Moments"/>
      <w:bookmarkEnd w:id="14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091" type="#_x0000_t75" style="width:11.1pt;height:12.9pt" o:ole="">
                  <v:imagedata r:id="rId150" o:title=""/>
                </v:shape>
                <o:OLEObject Type="Embed" ProgID="Equation.DSMT4" ShapeID="_x0000_i1091" DrawAspect="Content" ObjectID="_1448221078" r:id="rId151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s.d.,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>Sample s.d.,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r>
        <w:t>α and β are unknown parameters that yield the estimator</w:t>
      </w:r>
    </w:p>
    <w:p w:rsidR="002A6CE1" w:rsidRDefault="002A6CE1" w:rsidP="002A6CE1">
      <w:pPr>
        <w:pStyle w:val="NoSpacing"/>
      </w:pPr>
      <w:r>
        <w:t>k</w:t>
      </w:r>
      <w:r>
        <w:rPr>
          <w:vertAlign w:val="superscript"/>
        </w:rPr>
        <w:t>th</w:t>
      </w:r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092" type="#_x0000_t75" style="width:89.4pt;height:34.2pt" o:ole="">
            <v:imagedata r:id="rId152" o:title=""/>
          </v:shape>
          <o:OLEObject Type="Embed" ProgID="Equation.DSMT4" ShapeID="_x0000_i1092" DrawAspect="Content" ObjectID="_1448221079" r:id="rId153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093" type="#_x0000_t75" style="width:82.8pt;height:36.6pt" o:ole="">
            <v:imagedata r:id="rId154" o:title=""/>
          </v:shape>
          <o:OLEObject Type="Embed" ProgID="Equation.DSMT4" ShapeID="_x0000_i1093" DrawAspect="Content" ObjectID="_1448221080" r:id="rId155"/>
        </w:object>
      </w:r>
    </w:p>
    <w:p w:rsidR="002A6CE1" w:rsidRPr="002A6CE1" w:rsidRDefault="002A6CE1" w:rsidP="00DB1304">
      <w:pPr>
        <w:pStyle w:val="Heading3"/>
      </w:pPr>
      <w:bookmarkStart w:id="15" w:name="_Maximum_Likelihood_estimation"/>
      <w:bookmarkEnd w:id="15"/>
      <w:r>
        <w:t xml:space="preserve">Maximum Likelihood </w:t>
      </w:r>
      <w:r w:rsidR="0060472D">
        <w:t>E</w:t>
      </w:r>
      <w:r>
        <w:t>stimation</w:t>
      </w:r>
    </w:p>
    <w:p w:rsidR="00814DC3" w:rsidRDefault="00814DC3" w:rsidP="00814DC3">
      <w:pPr>
        <w:pStyle w:val="NoSpacing"/>
      </w:pPr>
      <w:r>
        <w:rPr>
          <w:b/>
        </w:rPr>
        <w:t>Joint pdf</w:t>
      </w:r>
      <w:r>
        <w:t>:</w:t>
      </w:r>
      <w:r w:rsidRPr="001855F4">
        <w:t xml:space="preserve"> </w:t>
      </w:r>
      <w:r>
        <w:t>pdf governing occurrences of A &amp; B, not just one (i.e. pdf of occurrences of multiple potential events), like for regular pdf’s</w:t>
      </w:r>
    </w:p>
    <w:p w:rsidR="00814DC3" w:rsidRDefault="00814DC3" w:rsidP="00997D64">
      <w:pPr>
        <w:pStyle w:val="NoSpacing"/>
      </w:pPr>
    </w:p>
    <w:p w:rsidR="00FE24D3" w:rsidRDefault="006C3001" w:rsidP="0026712B">
      <w:pPr>
        <w:pStyle w:val="NoSpacing"/>
      </w:pPr>
      <w:r>
        <w:t>Likelihood function:</w:t>
      </w:r>
      <w:r w:rsidR="003932D8">
        <w:t xml:space="preserve"> PMF = PDF =</w:t>
      </w:r>
      <w:r w:rsidR="00504F77">
        <w:t xml:space="preserve"> </w:t>
      </w:r>
      <w:r w:rsidR="00FE24D3">
        <w:t>P(X;θ)</w:t>
      </w:r>
      <w:r w:rsidR="0089721C">
        <w:t xml:space="preserve"> = f(X;θ) [f </w:t>
      </w:r>
      <w:r w:rsidR="0089721C">
        <w:sym w:font="Wingdings" w:char="F0F3"/>
      </w:r>
      <w:r w:rsidR="0089721C">
        <w:t xml:space="preserve"> P]</w:t>
      </w:r>
    </w:p>
    <w:p w:rsidR="00455FAC" w:rsidRDefault="00A14D5C" w:rsidP="0026712B">
      <w:pPr>
        <w:pStyle w:val="NoSpacing"/>
      </w:pPr>
      <w:r w:rsidRPr="00AC781F">
        <w:rPr>
          <w:position w:val="-28"/>
        </w:rPr>
        <w:object w:dxaOrig="2540" w:dyaOrig="680">
          <v:shape id="_x0000_i1129" type="#_x0000_t75" style="width:126.9pt;height:33.9pt" o:ole="">
            <v:imagedata r:id="rId156" o:title=""/>
          </v:shape>
          <o:OLEObject Type="Embed" ProgID="Equation.DSMT4" ShapeID="_x0000_i1129" DrawAspect="Content" ObjectID="_1448221081" r:id="rId157"/>
        </w:object>
      </w: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C71191" w:rsidRDefault="00C71191" w:rsidP="000D6814">
      <w:pPr>
        <w:pStyle w:val="NoSpacing"/>
      </w:pPr>
    </w:p>
    <w:p w:rsidR="00C71191" w:rsidRPr="008D547F" w:rsidRDefault="008D547F" w:rsidP="00C71191">
      <w:pPr>
        <w:pStyle w:val="NoSpacing"/>
        <w:rPr>
          <w:b/>
        </w:rPr>
      </w:pPr>
      <w:r w:rsidRPr="008D547F">
        <w:rPr>
          <w:b/>
        </w:rPr>
        <w:t>M</w:t>
      </w:r>
      <w:r>
        <w:rPr>
          <w:b/>
        </w:rPr>
        <w:t xml:space="preserve">aximum </w:t>
      </w:r>
      <w:r w:rsidRPr="008D547F">
        <w:rPr>
          <w:b/>
        </w:rPr>
        <w:t>L</w:t>
      </w:r>
      <w:r>
        <w:rPr>
          <w:b/>
        </w:rPr>
        <w:t xml:space="preserve">ikelihood </w:t>
      </w:r>
      <w:r w:rsidRPr="008D547F">
        <w:rPr>
          <w:b/>
        </w:rPr>
        <w:t>E</w:t>
      </w:r>
      <w:r>
        <w:rPr>
          <w:b/>
        </w:rPr>
        <w:t>stimator</w:t>
      </w:r>
      <w:r>
        <w:t xml:space="preserve">: (MLE) </w:t>
      </w:r>
      <w:r w:rsidR="00C71191" w:rsidRPr="00170334">
        <w:rPr>
          <w:position w:val="-14"/>
        </w:rPr>
        <w:object w:dxaOrig="1719" w:dyaOrig="420">
          <v:shape id="_x0000_i1131" type="#_x0000_t75" style="width:86.4pt;height:20.7pt" o:ole="">
            <v:imagedata r:id="rId158" o:title=""/>
          </v:shape>
          <o:OLEObject Type="Embed" ProgID="Equation.DSMT4" ShapeID="_x0000_i1131" DrawAspect="Content" ObjectID="_1448221082" r:id="rId159"/>
        </w:object>
      </w:r>
      <w:r w:rsidR="00C71191">
        <w:t xml:space="preserve">is the </w:t>
      </w:r>
      <w:r w:rsidR="006C2BFA">
        <w:t>random sample,</w:t>
      </w:r>
      <w:r w:rsidR="00C71191">
        <w:t xml:space="preserve"> X</w:t>
      </w:r>
      <w:r w:rsidR="006C2BFA">
        <w:t>,</w:t>
      </w:r>
      <w:r w:rsidR="00C71191">
        <w:t xml:space="preserve"> with the highest probability</w:t>
      </w:r>
      <w:r w:rsidR="00FB308B">
        <w:t xml:space="preserve"> of being an appropriate estimator</w:t>
      </w:r>
      <w:r w:rsidR="000660D9">
        <w:t xml:space="preserve"> </w:t>
      </w:r>
      <w:r w:rsidR="008E2F6C">
        <w:t>for</w:t>
      </w:r>
      <w:bookmarkStart w:id="16" w:name="_GoBack"/>
      <w:bookmarkEnd w:id="16"/>
      <w:r w:rsidR="000660D9">
        <w:t xml:space="preserve"> the population, θ</w:t>
      </w:r>
    </w:p>
    <w:p w:rsidR="004D43B3" w:rsidRDefault="004D43B3" w:rsidP="00C71191">
      <w:pPr>
        <w:pStyle w:val="NoSpacing"/>
      </w:pPr>
    </w:p>
    <w:p w:rsidR="004D43B3" w:rsidRDefault="004D43B3" w:rsidP="00C71191">
      <w:pPr>
        <w:pStyle w:val="NoSpacing"/>
      </w:pPr>
      <w:r>
        <w:t>How to find:</w:t>
      </w:r>
    </w:p>
    <w:p w:rsidR="00AC781F" w:rsidRDefault="00C40DF4" w:rsidP="00AC781F">
      <w:pPr>
        <w:pStyle w:val="NoSpacing"/>
        <w:numPr>
          <w:ilvl w:val="0"/>
          <w:numId w:val="42"/>
        </w:numPr>
      </w:pPr>
      <w:r>
        <w:t>Find</w:t>
      </w:r>
      <w:r w:rsidR="00F645C3" w:rsidRPr="00AC781F">
        <w:rPr>
          <w:position w:val="-14"/>
        </w:rPr>
        <w:object w:dxaOrig="1540" w:dyaOrig="400">
          <v:shape id="_x0000_i1130" type="#_x0000_t75" style="width:77.1pt;height:20.1pt" o:ole="">
            <v:imagedata r:id="rId160" o:title=""/>
          </v:shape>
          <o:OLEObject Type="Embed" ProgID="Equation.DSMT4" ShapeID="_x0000_i1130" DrawAspect="Content" ObjectID="_1448221083" r:id="rId161"/>
        </w:object>
      </w:r>
      <w:r w:rsidR="00AC781F">
        <w:t>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Find</w:t>
      </w:r>
      <w:r w:rsidRPr="00AC781F">
        <w:rPr>
          <w:position w:val="-24"/>
        </w:rPr>
        <w:object w:dxaOrig="1200" w:dyaOrig="620">
          <v:shape id="_x0000_i1128" type="#_x0000_t75" style="width:60pt;height:30.9pt" o:ole="">
            <v:imagedata r:id="rId162" o:title=""/>
          </v:shape>
          <o:OLEObject Type="Embed" ProgID="Equation.DSMT4" ShapeID="_x0000_i1128" DrawAspect="Content" ObjectID="_1448221084" r:id="rId163"/>
        </w:object>
      </w:r>
      <w:r>
        <w:t>.</w:t>
      </w:r>
    </w:p>
    <w:p w:rsidR="00535D9F" w:rsidRDefault="00535D9F" w:rsidP="00AC781F">
      <w:pPr>
        <w:pStyle w:val="NoSpacing"/>
        <w:numPr>
          <w:ilvl w:val="0"/>
          <w:numId w:val="42"/>
        </w:numPr>
      </w:pPr>
      <w:r>
        <w:t>Equate to 0.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Solve for θ.</w:t>
      </w:r>
    </w:p>
    <w:p w:rsidR="001855F4" w:rsidRDefault="006057B5" w:rsidP="006057B5">
      <w:pPr>
        <w:pStyle w:val="Heading4"/>
      </w:pPr>
      <w:r>
        <w:t>e.g.</w:t>
      </w:r>
    </w:p>
    <w:p w:rsidR="006057B5" w:rsidRPr="006057B5" w:rsidRDefault="006057B5" w:rsidP="006057B5">
      <w:pPr>
        <w:pStyle w:val="NoSpacing"/>
      </w:pPr>
      <w:r>
        <w:t>e.g. for exponential distribution</w:t>
      </w:r>
      <w:r w:rsidRPr="00023E5E">
        <w:rPr>
          <w:position w:val="-16"/>
        </w:rPr>
        <w:object w:dxaOrig="4360" w:dyaOrig="639">
          <v:shape id="_x0000_i1133" type="#_x0000_t75" style="width:218.1pt;height:32.4pt" o:ole="">
            <v:imagedata r:id="rId164" o:title=""/>
          </v:shape>
          <o:OLEObject Type="Embed" ProgID="Equation.DSMT4" ShapeID="_x0000_i1133" DrawAspect="Content" ObjectID="_1448221085" r:id="rId165"/>
        </w:object>
      </w:r>
      <w:r>
        <w:t xml:space="preserve"> Note that at *, the product becomes a summation of the x</w:t>
      </w:r>
      <w:r>
        <w:rPr>
          <w:vertAlign w:val="subscript"/>
        </w:rPr>
        <w:t>i</w:t>
      </w:r>
      <w:r>
        <w:t xml:space="preserve"> values</w: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  <w:r w:rsidR="0012101E">
        <w:t>, CL = P(CI)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AA19EC" w:rsidP="00450A6B">
      <w:pPr>
        <w:pStyle w:val="NoSpacing"/>
        <w:numPr>
          <w:ilvl w:val="1"/>
          <w:numId w:val="32"/>
        </w:numPr>
      </w:pPr>
      <w:hyperlink w:anchor="_Standard_Deviation" w:history="1">
        <w:r w:rsidR="00450A6B" w:rsidRPr="005F5F23">
          <w:rPr>
            <w:rStyle w:val="Hyperlink"/>
          </w:rPr>
          <w:t>s.d.</w:t>
        </w:r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4" type="#_x0000_t75" style="width:12pt;height:12.9pt" o:ole="">
            <v:imagedata r:id="rId166" o:title=""/>
          </v:shape>
          <o:OLEObject Type="Embed" ProgID="Equation.DSMT4" ShapeID="_x0000_i1094" DrawAspect="Content" ObjectID="_1448221086" r:id="rId167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3764C6" w:rsidP="001C73DD">
      <w:pPr>
        <w:pStyle w:val="NoSpacing"/>
      </w:pPr>
      <w:r w:rsidRPr="006524BA">
        <w:rPr>
          <w:position w:val="-106"/>
        </w:rPr>
        <w:object w:dxaOrig="3800" w:dyaOrig="1880">
          <v:shape id="_x0000_i1095" type="#_x0000_t75" style="width:189.9pt;height:93.9pt" o:ole="">
            <v:imagedata r:id="rId168" o:title=""/>
          </v:shape>
          <o:OLEObject Type="Embed" ProgID="Equation.DSMT4" ShapeID="_x0000_i1095" DrawAspect="Content" ObjectID="_1448221087" r:id="rId169"/>
        </w:object>
      </w:r>
    </w:p>
    <w:p w:rsidR="00300706" w:rsidRDefault="00300706" w:rsidP="001C73DD">
      <w:pPr>
        <w:pStyle w:val="NoSpacing"/>
        <w:rPr>
          <w:b/>
        </w:rPr>
      </w:pPr>
    </w:p>
    <w:p w:rsidR="00972D57" w:rsidRDefault="00E86520" w:rsidP="001C73DD">
      <w:pPr>
        <w:pStyle w:val="NoSpacing"/>
      </w:pPr>
      <w:r>
        <w:t>The b</w:t>
      </w:r>
      <w:r w:rsidR="00972D57">
        <w:t>ound of the error is half the width</w:t>
      </w:r>
      <w:r>
        <w:t>, i.e. if estimate is within 1% of the true percentage, the 1% represents the bound of the error, so the width is 0.01×2.</w:t>
      </w:r>
    </w:p>
    <w:p w:rsidR="000640D3" w:rsidRDefault="000640D3" w:rsidP="001C73DD">
      <w:pPr>
        <w:pStyle w:val="NoSpacing"/>
      </w:pPr>
      <w:r>
        <w:t>Sample size:</w:t>
      </w:r>
      <w:r w:rsidR="00BA6B3F" w:rsidRPr="000640D3">
        <w:rPr>
          <w:position w:val="-28"/>
        </w:rPr>
        <w:object w:dxaOrig="1420" w:dyaOrig="740">
          <v:shape id="_x0000_i1096" type="#_x0000_t75" style="width:71.1pt;height:36.6pt" o:ole="">
            <v:imagedata r:id="rId170" o:title=""/>
          </v:shape>
          <o:OLEObject Type="Embed" ProgID="Equation.DSMT4" ShapeID="_x0000_i1096" DrawAspect="Content" ObjectID="_1448221088" r:id="rId171"/>
        </w:object>
      </w:r>
      <w:r w:rsidR="00192311">
        <w:t>OR</w:t>
      </w:r>
      <w:r w:rsidR="00192311" w:rsidRPr="00192311">
        <w:rPr>
          <w:position w:val="-28"/>
        </w:rPr>
        <w:object w:dxaOrig="1740" w:dyaOrig="740">
          <v:shape id="_x0000_i1097" type="#_x0000_t75" style="width:87pt;height:36.9pt" o:ole="">
            <v:imagedata r:id="rId172" o:title=""/>
          </v:shape>
          <o:OLEObject Type="Embed" ProgID="Equation.DSMT4" ShapeID="_x0000_i1097" DrawAspect="Content" ObjectID="_1448221089" r:id="rId173"/>
        </w:object>
      </w:r>
    </w:p>
    <w:p w:rsidR="003649CE" w:rsidRDefault="00192311" w:rsidP="001C73DD">
      <w:pPr>
        <w:pStyle w:val="NoSpacing"/>
      </w:pPr>
      <w:r>
        <w:t>CI:</w:t>
      </w:r>
      <w:r w:rsidRPr="00192311">
        <w:rPr>
          <w:position w:val="-34"/>
        </w:rPr>
        <w:object w:dxaOrig="1400" w:dyaOrig="800">
          <v:shape id="_x0000_i1098" type="#_x0000_t75" style="width:69.9pt;height:39.9pt" o:ole="">
            <v:imagedata r:id="rId174" o:title=""/>
          </v:shape>
          <o:OLEObject Type="Embed" ProgID="Equation.DSMT4" ShapeID="_x0000_i1098" DrawAspect="Content" ObjectID="_1448221090" r:id="rId175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2C100D" w:rsidRDefault="002C100D" w:rsidP="001C73DD">
      <w:pPr>
        <w:pStyle w:val="NoSpacing"/>
      </w:pPr>
    </w:p>
    <w:p w:rsidR="00B266D0" w:rsidRDefault="002C100D" w:rsidP="001C73DD">
      <w:pPr>
        <w:pStyle w:val="NoSpacing"/>
      </w:pPr>
      <w:r w:rsidRPr="00300706">
        <w:rPr>
          <w:b/>
        </w:rPr>
        <w:t>Standard error</w:t>
      </w:r>
      <w:r>
        <w:t xml:space="preserve">: conversion of standard deviation (total population) to sample distribution (sample population) = </w:t>
      </w:r>
      <w:r w:rsidRPr="000C000E">
        <w:rPr>
          <w:position w:val="-28"/>
        </w:rPr>
        <w:object w:dxaOrig="420" w:dyaOrig="660">
          <v:shape id="_x0000_i1099" type="#_x0000_t75" style="width:20.7pt;height:32.7pt" o:ole="">
            <v:imagedata r:id="rId176" o:title=""/>
          </v:shape>
          <o:OLEObject Type="Embed" ProgID="Equation.DSMT4" ShapeID="_x0000_i1099" DrawAspect="Content" ObjectID="_1448221091" r:id="rId177"/>
        </w:object>
      </w: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characteristics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r>
        <w:t>The point of this to see if the error in the sample mean is low enough to make the sample valid/satisfactory.</w:t>
      </w:r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AA19EC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AA19EC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5267B8" w:rsidRDefault="00CF35D8" w:rsidP="00C86C1B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  <w:r w:rsidR="003F1D86">
        <w:t>, where μ</w:t>
      </w:r>
      <w:r w:rsidR="003F1D86">
        <w:rPr>
          <w:vertAlign w:val="subscript"/>
        </w:rPr>
        <w:t>0</w:t>
      </w:r>
      <w:r w:rsidR="003F1D86">
        <w:t xml:space="preserve"> is the given value of μ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 xml:space="preserve">one-sided </w:t>
      </w:r>
      <w:hyperlink w:anchor="_Hypothesis_Test" w:history="1">
        <w:r w:rsidRPr="00F81B96">
          <w:rPr>
            <w:rStyle w:val="Hyperlink"/>
            <w:rFonts w:cs="Times New Roman"/>
            <w:b/>
          </w:rPr>
          <w:t>hypothesis test</w:t>
        </w:r>
      </w:hyperlink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r>
        <w:t>σ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0" type="#_x0000_t75" style="width:69.9pt;height:31.2pt" o:ole="">
            <v:imagedata r:id="rId178" o:title=""/>
          </v:shape>
          <o:OLEObject Type="Embed" ProgID="Equation.DSMT4" ShapeID="_x0000_i1100" DrawAspect="Content" ObjectID="_1448221092" r:id="rId179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1" type="#_x0000_t75" style="width:69.9pt;height:31.2pt" o:ole="">
            <v:imagedata r:id="rId180" o:title=""/>
          </v:shape>
          <o:OLEObject Type="Embed" ProgID="Equation.DSMT4" ShapeID="_x0000_i1101" DrawAspect="Content" ObjectID="_1448221093" r:id="rId181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r>
        <w:t xml:space="preserve">normal dist,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2" type="#_x0000_t75" style="width:67.8pt;height:31.2pt" o:ole="">
            <v:imagedata r:id="rId182" o:title=""/>
          </v:shape>
          <o:OLEObject Type="Embed" ProgID="Equation.DSMT4" ShapeID="_x0000_i1102" DrawAspect="Content" ObjectID="_1448221094" r:id="rId183"/>
        </w:object>
      </w:r>
    </w:p>
    <w:p w:rsidR="00F81B96" w:rsidRDefault="00F81B96" w:rsidP="00F81B96">
      <w:pPr>
        <w:pStyle w:val="Heading2"/>
      </w:pPr>
      <w:bookmarkStart w:id="23" w:name="_Hypothesis_Test"/>
      <w:bookmarkEnd w:id="23"/>
      <w:r>
        <w:t>Hypothesis Test</w:t>
      </w:r>
    </w:p>
    <w:p w:rsidR="00852D7D" w:rsidRDefault="00852D7D" w:rsidP="003A49CD">
      <w:pPr>
        <w:pStyle w:val="NoSpacing"/>
      </w:pPr>
      <w:r w:rsidRPr="00A33B65">
        <w:rPr>
          <w:b/>
        </w:rPr>
        <w:t>One tail</w:t>
      </w:r>
      <w:r>
        <w:t>:</w:t>
      </w:r>
      <w:r w:rsidRPr="00852D7D">
        <w:rPr>
          <w:position w:val="-12"/>
        </w:rPr>
        <w:object w:dxaOrig="279" w:dyaOrig="360">
          <v:shape id="_x0000_i1103" type="#_x0000_t75" style="width:14.1pt;height:18pt" o:ole="">
            <v:imagedata r:id="rId184" o:title=""/>
          </v:shape>
          <o:OLEObject Type="Embed" ProgID="Equation.DSMT4" ShapeID="_x0000_i1103" DrawAspect="Content" ObjectID="_1448221095" r:id="rId185"/>
        </w:object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lower-tail when the alternative hypothesis is: </w:t>
      </w:r>
      <w:r>
        <w:rPr>
          <w:rFonts w:cs="Times New Roman"/>
        </w:rPr>
        <w:t>μ &lt; H</w:t>
      </w:r>
      <w:r>
        <w:rPr>
          <w:rFonts w:cs="Times New Roman"/>
          <w:vertAlign w:val="subscript"/>
        </w:rPr>
        <w:t>a</w:t>
      </w:r>
    </w:p>
    <w:p w:rsidR="003B0C9B" w:rsidRPr="003B0C9B" w:rsidRDefault="003B0C9B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184183" cy="9360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8" cy="9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upper-tail when the alternative hypothesis is: </w:t>
      </w:r>
      <w:r>
        <w:rPr>
          <w:rFonts w:cs="Times New Roman"/>
        </w:rPr>
        <w:t>μ &gt; H</w:t>
      </w:r>
      <w:r>
        <w:rPr>
          <w:rFonts w:cs="Times New Roman"/>
          <w:vertAlign w:val="subscript"/>
        </w:rPr>
        <w:t>a</w:t>
      </w:r>
    </w:p>
    <w:p w:rsidR="00F81B96" w:rsidRDefault="00EE32D7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802130" cy="833355"/>
            <wp:effectExtent l="0" t="0" r="7620" b="5080"/>
            <wp:docPr id="7" name="Picture 7" descr="http://kld.metalbykevin.com/wp-content/uploads/2013/02/uppertailpdf.jpg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ld.metalbykevin.com/wp-content/uploads/2013/02/uppertailpdf.jp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7D" w:rsidRDefault="00852D7D" w:rsidP="003A49CD">
      <w:pPr>
        <w:pStyle w:val="NoSpacing"/>
      </w:pPr>
      <w:r w:rsidRPr="00A33B65">
        <w:rPr>
          <w:b/>
        </w:rPr>
        <w:t>Two tails</w:t>
      </w:r>
      <w:r>
        <w:t>: z</w:t>
      </w:r>
      <w:r>
        <w:rPr>
          <w:vertAlign w:val="subscript"/>
        </w:rPr>
        <w:t>α/2</w:t>
      </w:r>
    </w:p>
    <w:p w:rsidR="00F81B96" w:rsidRPr="00F81B96" w:rsidRDefault="00F81B96" w:rsidP="003A49CD">
      <w:pPr>
        <w:pStyle w:val="NoSpacing"/>
      </w:pPr>
      <w:r>
        <w:t>Use this when alternative hypothesis is μ ≠ H</w:t>
      </w:r>
      <w:r>
        <w:rPr>
          <w:vertAlign w:val="subscript"/>
        </w:rPr>
        <w:t>a</w:t>
      </w:r>
    </w:p>
    <w:p w:rsidR="002B64C0" w:rsidRDefault="00A0404E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776624" cy="11898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4" cy="11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AC" w:rsidRDefault="00EE32D7" w:rsidP="003A49CD">
      <w:pPr>
        <w:pStyle w:val="NoSpacing"/>
      </w:pPr>
      <w:r>
        <w:t xml:space="preserve">The rejection region is the dark part of these graphs. </w:t>
      </w:r>
      <w:r w:rsidR="002B64C0">
        <w:t>If in rejection region, reject the null hypothesis</w:t>
      </w:r>
      <w:r w:rsidR="000813AF">
        <w:t>.</w:t>
      </w: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 xml:space="preserve">If P-value </w:t>
      </w:r>
      <w:r w:rsidR="00AA0B65">
        <w:t xml:space="preserve">&lt; </w:t>
      </w:r>
      <w:r w:rsidR="00AA0B65" w:rsidRPr="00F8452D">
        <w:rPr>
          <w:i/>
        </w:rPr>
        <w:t>α</w:t>
      </w:r>
      <w:r w:rsidR="00AA0B65">
        <w:t xml:space="preserve"> </w:t>
      </w:r>
      <w:r>
        <w:t>, reject the null hypothesis and accept the alternative hypothesis</w:t>
      </w:r>
    </w:p>
    <w:p w:rsidR="00E867CC" w:rsidRDefault="006457D3" w:rsidP="00E867CC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</w:t>
      </w:r>
      <w:r w:rsidR="00AA0B65">
        <w:t xml:space="preserve">&gt; </w:t>
      </w:r>
      <w:r w:rsidR="00AA0B65" w:rsidRPr="00F8452D">
        <w:rPr>
          <w:i/>
        </w:rPr>
        <w:t>α</w:t>
      </w:r>
      <w:r w:rsidR="00AA0B65">
        <w:t xml:space="preserve"> 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</w:t>
      </w:r>
      <w:r w:rsidR="00AA0B65">
        <w:t>ative hypothesis</w:t>
      </w:r>
    </w:p>
    <w:p w:rsidR="00E867CC" w:rsidRDefault="00E867CC" w:rsidP="00E867CC">
      <w:pPr>
        <w:pStyle w:val="NoSpacing"/>
        <w:numPr>
          <w:ilvl w:val="0"/>
          <w:numId w:val="39"/>
        </w:numPr>
      </w:pPr>
      <w:r>
        <w:t>It is different for each region</w:t>
      </w:r>
    </w:p>
    <w:p w:rsidR="0002366E" w:rsidRDefault="0002366E" w:rsidP="0002366E">
      <w:pPr>
        <w:pStyle w:val="NoSpacing"/>
        <w:numPr>
          <w:ilvl w:val="1"/>
          <w:numId w:val="39"/>
        </w:numPr>
      </w:pPr>
      <w:r w:rsidRPr="0002366E">
        <w:rPr>
          <w:position w:val="-14"/>
        </w:rPr>
        <w:object w:dxaOrig="1100" w:dyaOrig="400">
          <v:shape id="_x0000_i1104" type="#_x0000_t75" style="width:54.9pt;height:20.1pt" o:ole="">
            <v:imagedata r:id="rId190" o:title=""/>
          </v:shape>
          <o:OLEObject Type="Embed" ProgID="Equation.DSMT4" ShapeID="_x0000_i1104" DrawAspect="Content" ObjectID="_1448221096" r:id="rId191"/>
        </w:object>
      </w:r>
    </w:p>
    <w:p w:rsidR="0002366E" w:rsidRDefault="00E867CC" w:rsidP="0002366E">
      <w:pPr>
        <w:pStyle w:val="NoSpacing"/>
        <w:numPr>
          <w:ilvl w:val="1"/>
          <w:numId w:val="39"/>
        </w:numPr>
      </w:pPr>
      <w:r>
        <w:t xml:space="preserve">Upper tailed: </w:t>
      </w:r>
      <w:r w:rsidR="0002366E">
        <w:t xml:space="preserve">P = </w:t>
      </w:r>
      <w:r w:rsidR="00CF2540" w:rsidRPr="0002366E">
        <w:rPr>
          <w:position w:val="-14"/>
        </w:rPr>
        <w:object w:dxaOrig="1280" w:dyaOrig="400">
          <v:shape id="_x0000_i1105" type="#_x0000_t75" style="width:63.9pt;height:20.1pt" o:ole="">
            <v:imagedata r:id="rId192" o:title=""/>
          </v:shape>
          <o:OLEObject Type="Embed" ProgID="Equation.DSMT4" ShapeID="_x0000_i1105" DrawAspect="Content" ObjectID="_1448221097" r:id="rId193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Lower tailed: </w:t>
      </w:r>
      <w:r w:rsidR="00687E16">
        <w:t xml:space="preserve">P = </w:t>
      </w:r>
      <w:r w:rsidR="00757BA8" w:rsidRPr="0002366E">
        <w:rPr>
          <w:position w:val="-14"/>
        </w:rPr>
        <w:object w:dxaOrig="999" w:dyaOrig="400">
          <v:shape id="_x0000_i1106" type="#_x0000_t75" style="width:50.1pt;height:20.1pt" o:ole="">
            <v:imagedata r:id="rId194" o:title=""/>
          </v:shape>
          <o:OLEObject Type="Embed" ProgID="Equation.DSMT4" ShapeID="_x0000_i1106" DrawAspect="Content" ObjectID="_1448221098" r:id="rId195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Two-tailed: </w:t>
      </w:r>
      <w:r w:rsidR="00687E16">
        <w:t xml:space="preserve">P = </w:t>
      </w:r>
      <w:r w:rsidR="00757BA8" w:rsidRPr="0002366E">
        <w:rPr>
          <w:position w:val="-14"/>
        </w:rPr>
        <w:object w:dxaOrig="1620" w:dyaOrig="400">
          <v:shape id="_x0000_i1107" type="#_x0000_t75" style="width:81pt;height:20.1pt" o:ole="">
            <v:imagedata r:id="rId196" o:title=""/>
          </v:shape>
          <o:OLEObject Type="Embed" ProgID="Equation.DSMT4" ShapeID="_x0000_i1107" DrawAspect="Content" ObjectID="_1448221099" r:id="rId197"/>
        </w:objec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8" type="#_x0000_t75" style="width:74.4pt;height:50.7pt" o:ole="">
            <v:imagedata r:id="rId198" o:title=""/>
          </v:shape>
          <o:OLEObject Type="Embed" ProgID="Equation.DSMT4" ShapeID="_x0000_i1108" DrawAspect="Content" ObjectID="_1448221100" r:id="rId199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936114" w:rsidRPr="00936114">
        <w:rPr>
          <w:position w:val="-14"/>
        </w:rPr>
        <w:object w:dxaOrig="1820" w:dyaOrig="400">
          <v:shape id="_x0000_i1109" type="#_x0000_t75" style="width:91.5pt;height:20.1pt" o:ole="">
            <v:imagedata r:id="rId200" o:title=""/>
          </v:shape>
          <o:OLEObject Type="Embed" ProgID="Equation.DSMT4" ShapeID="_x0000_i1109" DrawAspect="Content" ObjectID="_1448221101" r:id="rId201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936114" w:rsidRPr="00AD20F1">
        <w:rPr>
          <w:position w:val="-50"/>
        </w:rPr>
        <w:object w:dxaOrig="980" w:dyaOrig="1120">
          <v:shape id="_x0000_i1110" type="#_x0000_t75" style="width:48.9pt;height:55.8pt" o:ole="">
            <v:imagedata r:id="rId202" o:title=""/>
          </v:shape>
          <o:OLEObject Type="Embed" ProgID="Equation.DSMT4" ShapeID="_x0000_i1110" DrawAspect="Content" ObjectID="_1448221102" r:id="rId203"/>
        </w:object>
      </w:r>
    </w:p>
    <w:p w:rsidR="0026122F" w:rsidRDefault="0026122F" w:rsidP="00C25BFF">
      <w:pPr>
        <w:pStyle w:val="NoSpacing"/>
      </w:pPr>
    </w:p>
    <w:p w:rsidR="00B816BB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B816BB" w:rsidP="00C25BFF">
      <w:pPr>
        <w:pStyle w:val="NoSpacing"/>
      </w:pPr>
      <w:r>
        <w:t>Note: n’s must be the same, use</w:t>
      </w:r>
      <w:r w:rsidRPr="0096381A">
        <w:rPr>
          <w:position w:val="-14"/>
        </w:rPr>
        <w:object w:dxaOrig="1160" w:dyaOrig="400">
          <v:shape id="_x0000_i1111" type="#_x0000_t75" style="width:57.9pt;height:20.1pt" o:ole="">
            <v:imagedata r:id="rId204" o:title=""/>
          </v:shape>
          <o:OLEObject Type="Embed" ProgID="Equation.DSMT4" ShapeID="_x0000_i1111" DrawAspect="Content" ObjectID="_1448221103" r:id="rId205"/>
        </w:object>
      </w:r>
      <w:r w:rsidR="00AA724B">
        <w:t xml:space="preserve">, instead of </w:t>
      </w:r>
      <w:r w:rsidR="00AA724B" w:rsidRPr="00AA724B">
        <w:rPr>
          <w:position w:val="-6"/>
        </w:rPr>
        <w:object w:dxaOrig="220" w:dyaOrig="260">
          <v:shape id="_x0000_i1112" type="#_x0000_t75" style="width:11.1pt;height:12.9pt" o:ole="">
            <v:imagedata r:id="rId206" o:title=""/>
          </v:shape>
          <o:OLEObject Type="Embed" ProgID="Equation.DSMT4" ShapeID="_x0000_i1112" DrawAspect="Content" ObjectID="_1448221104" r:id="rId207"/>
        </w:object>
      </w:r>
      <w:r>
        <w:t xml:space="preserve">, use </w:t>
      </w:r>
      <w:r w:rsidRPr="0096381A">
        <w:rPr>
          <w:position w:val="-12"/>
        </w:rPr>
        <w:object w:dxaOrig="300" w:dyaOrig="360">
          <v:shape id="_x0000_i1113" type="#_x0000_t75" style="width:15pt;height:18pt" o:ole="">
            <v:imagedata r:id="rId208" o:title=""/>
          </v:shape>
          <o:OLEObject Type="Embed" ProgID="Equation.DSMT4" ShapeID="_x0000_i1113" DrawAspect="Content" ObjectID="_1448221105" r:id="rId209"/>
        </w:object>
      </w:r>
      <w:r>
        <w:t xml:space="preserve">instead of μ; </w:t>
      </w:r>
      <w:r w:rsidR="00AA724B" w:rsidRPr="0027316D">
        <w:rPr>
          <w:position w:val="-14"/>
        </w:rPr>
        <w:object w:dxaOrig="1359" w:dyaOrig="400">
          <v:shape id="_x0000_i1114" type="#_x0000_t75" style="width:68.1pt;height:20.1pt" o:ole="">
            <v:imagedata r:id="rId210" o:title=""/>
          </v:shape>
          <o:OLEObject Type="Embed" ProgID="Equation.DSMT4" ShapeID="_x0000_i1114" DrawAspect="Content" ObjectID="_1448221106" r:id="rId211"/>
        </w:object>
      </w:r>
      <w:r w:rsidR="00AA724B">
        <w:t xml:space="preserve">, and </w:t>
      </w:r>
      <w:r w:rsidR="00AA724B" w:rsidRPr="00AA724B">
        <w:rPr>
          <w:position w:val="-14"/>
        </w:rPr>
        <w:object w:dxaOrig="1200" w:dyaOrig="400">
          <v:shape id="_x0000_i1115" type="#_x0000_t75" style="width:60pt;height:20.1pt" o:ole="">
            <v:imagedata r:id="rId212" o:title=""/>
          </v:shape>
          <o:OLEObject Type="Embed" ProgID="Equation.DSMT4" ShapeID="_x0000_i1115" DrawAspect="Content" ObjectID="_1448221107" r:id="rId213"/>
        </w:object>
      </w:r>
    </w:p>
    <w:p w:rsidR="00284D82" w:rsidRDefault="00AA19EC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 </w:t>
      </w:r>
    </w:p>
    <w:p w:rsidR="00284D82" w:rsidRDefault="00AA19EC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 </w:t>
      </w:r>
    </w:p>
    <w:p w:rsidR="00ED4766" w:rsidRDefault="00AA19EC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96381A">
        <w:t xml:space="preserve"> 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16" type="#_x0000_t75" style="width:41.1pt;height:19.2pt" o:ole="">
            <v:imagedata r:id="rId214" o:title=""/>
          </v:shape>
          <o:OLEObject Type="Embed" ProgID="Equation.DSMT4" ShapeID="_x0000_i1116" DrawAspect="Content" ObjectID="_1448221108" r:id="rId215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17" type="#_x0000_t75" style="width:51.9pt;height:33pt" o:ole="">
            <v:imagedata r:id="rId216" o:title=""/>
          </v:shape>
          <o:OLEObject Type="Embed" ProgID="Equation.DSMT4" ShapeID="_x0000_i1117" DrawAspect="Content" ObjectID="_1448221109" r:id="rId217"/>
        </w:object>
      </w:r>
    </w:p>
    <w:p w:rsidR="007E6C45" w:rsidRDefault="007E6C45" w:rsidP="009F5C6E">
      <w:pPr>
        <w:pStyle w:val="NoSpacing"/>
      </w:pPr>
      <w:r w:rsidRPr="007E6C45">
        <w:rPr>
          <w:b/>
          <w:i/>
        </w:rPr>
        <w:t>f</w:t>
      </w:r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18" type="#_x0000_t75" style="width:36pt;height:36pt" o:ole="">
            <v:imagedata r:id="rId218" o:title=""/>
          </v:shape>
          <o:OLEObject Type="Embed" ProgID="Equation.DSMT4" ShapeID="_x0000_i1118" DrawAspect="Content" ObjectID="_1448221110" r:id="rId219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19" type="#_x0000_t75" style="width:41.1pt;height:19.2pt" o:ole="">
            <v:imagedata r:id="rId220" o:title=""/>
          </v:shape>
          <o:OLEObject Type="Embed" ProgID="Equation.DSMT4" ShapeID="_x0000_i1119" DrawAspect="Content" ObjectID="_1448221111" r:id="rId221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20" type="#_x0000_t75" style="width:41.1pt;height:19.2pt" o:ole="">
            <v:imagedata r:id="rId222" o:title=""/>
          </v:shape>
          <o:OLEObject Type="Embed" ProgID="Equation.DSMT4" ShapeID="_x0000_i1120" DrawAspect="Content" ObjectID="_1448221112" r:id="rId223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21" type="#_x0000_t75" style="width:62.1pt;height:18pt" o:ole="">
            <v:imagedata r:id="rId224" o:title=""/>
          </v:shape>
          <o:OLEObject Type="Embed" ProgID="Equation.DSMT4" ShapeID="_x0000_i1121" DrawAspect="Content" ObjectID="_1448221113" r:id="rId225"/>
        </w:object>
      </w:r>
    </w:p>
    <w:p w:rsidR="004666A9" w:rsidRDefault="004666A9" w:rsidP="00353E9F">
      <w:pPr>
        <w:pStyle w:val="NoSpacing"/>
      </w:pPr>
      <w:r>
        <w:t>one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22" type="#_x0000_t75" style="width:78.9pt;height:18pt" o:ole="">
            <v:imagedata r:id="rId226" o:title=""/>
          </v:shape>
          <o:OLEObject Type="Embed" ProgID="Equation.DSMT4" ShapeID="_x0000_i1122" DrawAspect="Content" ObjectID="_1448221114" r:id="rId227"/>
        </w:object>
      </w:r>
    </w:p>
    <w:p w:rsidR="00D92228" w:rsidRDefault="00D92228" w:rsidP="00D92228">
      <w:pPr>
        <w:pStyle w:val="NoSpacing"/>
      </w:pPr>
      <w:r>
        <w:t>ε</w:t>
      </w:r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23" type="#_x0000_t75" style="width:150.9pt;height:188.1pt" o:ole="">
            <v:imagedata r:id="rId228" o:title=""/>
          </v:shape>
          <o:OLEObject Type="Embed" ProgID="Equation.DSMT4" ShapeID="_x0000_i1123" DrawAspect="Content" ObjectID="_1448221115" r:id="rId229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r>
        <w:t xml:space="preserve">library (MASS) </w:t>
      </w:r>
    </w:p>
    <w:p w:rsidR="004928B5" w:rsidRDefault="004928B5">
      <w:pPr>
        <w:pStyle w:val="NoSpacing"/>
      </w:pPr>
      <w:r>
        <w:t>summary()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24" type="#_x0000_t75" style="width:231pt;height:21.9pt" o:ole="">
            <v:imagedata r:id="rId230" o:title=""/>
          </v:shape>
          <o:OLEObject Type="Embed" ProgID="Equation.DSMT4" ShapeID="_x0000_i1124" DrawAspect="Content" ObjectID="_1448221116" r:id="rId231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r w:rsidRPr="00F44A5F">
        <w:rPr>
          <w:b/>
        </w:rPr>
        <w:t>levels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25" type="#_x0000_t75" style="width:21pt;height:19.2pt" o:ole="">
            <v:imagedata r:id="rId232" o:title=""/>
          </v:shape>
          <o:OLEObject Type="Embed" ProgID="Equation.DSMT4" ShapeID="_x0000_i1125" DrawAspect="Content" ObjectID="_1448221117" r:id="rId233"/>
        </w:object>
      </w:r>
      <w:r>
        <w:t xml:space="preserve">represents the random variable for the </w:t>
      </w:r>
      <w:r>
        <w:rPr>
          <w:i/>
        </w:rPr>
        <w:t>j</w:t>
      </w:r>
      <w:r>
        <w:rPr>
          <w:vertAlign w:val="superscript"/>
        </w:rPr>
        <w:t>th</w:t>
      </w:r>
      <w:r>
        <w:t xml:space="preserve"> experiment for the </w:t>
      </w:r>
      <w:r w:rsidRPr="006114FE">
        <w:rPr>
          <w:i/>
        </w:rPr>
        <w:t>i</w:t>
      </w:r>
      <w:r w:rsidRPr="006114FE">
        <w:rPr>
          <w:vertAlign w:val="superscript"/>
        </w:rPr>
        <w:t>th</w:t>
      </w:r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26" type="#_x0000_t75" style="width:128.1pt;height:36pt" o:ole="">
            <v:imagedata r:id="rId234" o:title=""/>
          </v:shape>
          <o:OLEObject Type="Embed" ProgID="Equation.DSMT4" ShapeID="_x0000_i1126" DrawAspect="Content" ObjectID="_1448221118" r:id="rId235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27" type="#_x0000_t75" style="width:63pt;height:45.9pt" o:ole="">
            <v:imagedata r:id="rId236" o:title=""/>
          </v:shape>
          <o:OLEObject Type="Embed" ProgID="Equation.DSMT4" ShapeID="_x0000_i1127" DrawAspect="Content" ObjectID="_1448221119" r:id="rId237"/>
        </w:object>
      </w:r>
    </w:p>
    <w:sectPr w:rsidR="00826599" w:rsidRPr="008A118A">
      <w:footerReference w:type="default" r:id="rId2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B2" w:rsidRDefault="00E815B2" w:rsidP="00857381">
      <w:pPr>
        <w:spacing w:after="0" w:line="240" w:lineRule="auto"/>
      </w:pPr>
      <w:r>
        <w:separator/>
      </w:r>
    </w:p>
  </w:endnote>
  <w:endnote w:type="continuationSeparator" w:id="0">
    <w:p w:rsidR="00E815B2" w:rsidRDefault="00E815B2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A19EC" w:rsidRDefault="00AA19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A19EC" w:rsidRDefault="00AA1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B2" w:rsidRDefault="00E815B2" w:rsidP="00857381">
      <w:pPr>
        <w:spacing w:after="0" w:line="240" w:lineRule="auto"/>
      </w:pPr>
      <w:r>
        <w:separator/>
      </w:r>
    </w:p>
  </w:footnote>
  <w:footnote w:type="continuationSeparator" w:id="0">
    <w:p w:rsidR="00E815B2" w:rsidRDefault="00E815B2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B5C14"/>
    <w:multiLevelType w:val="hybridMultilevel"/>
    <w:tmpl w:val="59C68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2"/>
  </w:num>
  <w:num w:numId="4">
    <w:abstractNumId w:val="20"/>
  </w:num>
  <w:num w:numId="5">
    <w:abstractNumId w:val="8"/>
  </w:num>
  <w:num w:numId="6">
    <w:abstractNumId w:val="35"/>
  </w:num>
  <w:num w:numId="7">
    <w:abstractNumId w:val="26"/>
  </w:num>
  <w:num w:numId="8">
    <w:abstractNumId w:val="15"/>
  </w:num>
  <w:num w:numId="9">
    <w:abstractNumId w:val="0"/>
  </w:num>
  <w:num w:numId="10">
    <w:abstractNumId w:val="19"/>
  </w:num>
  <w:num w:numId="11">
    <w:abstractNumId w:val="16"/>
  </w:num>
  <w:num w:numId="12">
    <w:abstractNumId w:val="1"/>
  </w:num>
  <w:num w:numId="13">
    <w:abstractNumId w:val="23"/>
  </w:num>
  <w:num w:numId="14">
    <w:abstractNumId w:val="29"/>
  </w:num>
  <w:num w:numId="15">
    <w:abstractNumId w:val="34"/>
  </w:num>
  <w:num w:numId="16">
    <w:abstractNumId w:val="3"/>
  </w:num>
  <w:num w:numId="17">
    <w:abstractNumId w:val="7"/>
  </w:num>
  <w:num w:numId="18">
    <w:abstractNumId w:val="39"/>
  </w:num>
  <w:num w:numId="19">
    <w:abstractNumId w:val="25"/>
  </w:num>
  <w:num w:numId="20">
    <w:abstractNumId w:val="13"/>
  </w:num>
  <w:num w:numId="21">
    <w:abstractNumId w:val="31"/>
  </w:num>
  <w:num w:numId="22">
    <w:abstractNumId w:val="30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  <w:num w:numId="27">
    <w:abstractNumId w:val="40"/>
  </w:num>
  <w:num w:numId="28">
    <w:abstractNumId w:val="4"/>
  </w:num>
  <w:num w:numId="29">
    <w:abstractNumId w:val="21"/>
  </w:num>
  <w:num w:numId="30">
    <w:abstractNumId w:val="27"/>
  </w:num>
  <w:num w:numId="31">
    <w:abstractNumId w:val="24"/>
  </w:num>
  <w:num w:numId="32">
    <w:abstractNumId w:val="18"/>
  </w:num>
  <w:num w:numId="33">
    <w:abstractNumId w:val="37"/>
  </w:num>
  <w:num w:numId="34">
    <w:abstractNumId w:val="5"/>
  </w:num>
  <w:num w:numId="35">
    <w:abstractNumId w:val="41"/>
  </w:num>
  <w:num w:numId="36">
    <w:abstractNumId w:val="28"/>
  </w:num>
  <w:num w:numId="37">
    <w:abstractNumId w:val="12"/>
  </w:num>
  <w:num w:numId="38">
    <w:abstractNumId w:val="2"/>
  </w:num>
  <w:num w:numId="39">
    <w:abstractNumId w:val="36"/>
  </w:num>
  <w:num w:numId="40">
    <w:abstractNumId w:val="33"/>
  </w:num>
  <w:num w:numId="41">
    <w:abstractNumId w:val="1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0468"/>
    <w:rsid w:val="0002366E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660D9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01E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55F4"/>
    <w:rsid w:val="00186C19"/>
    <w:rsid w:val="00191A0D"/>
    <w:rsid w:val="00192311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16D"/>
    <w:rsid w:val="00273D6F"/>
    <w:rsid w:val="00276325"/>
    <w:rsid w:val="00276C35"/>
    <w:rsid w:val="00277A05"/>
    <w:rsid w:val="00280F07"/>
    <w:rsid w:val="00281CB7"/>
    <w:rsid w:val="00281DDE"/>
    <w:rsid w:val="002841C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00D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49CE"/>
    <w:rsid w:val="00365A83"/>
    <w:rsid w:val="0037164F"/>
    <w:rsid w:val="003764C6"/>
    <w:rsid w:val="003824F7"/>
    <w:rsid w:val="003837D9"/>
    <w:rsid w:val="00385EF9"/>
    <w:rsid w:val="0038709B"/>
    <w:rsid w:val="003932D8"/>
    <w:rsid w:val="00395959"/>
    <w:rsid w:val="003A067C"/>
    <w:rsid w:val="003A0E84"/>
    <w:rsid w:val="003A23C9"/>
    <w:rsid w:val="003A49CD"/>
    <w:rsid w:val="003A4E8B"/>
    <w:rsid w:val="003A5AE9"/>
    <w:rsid w:val="003B04FF"/>
    <w:rsid w:val="003B05E7"/>
    <w:rsid w:val="003B0C9B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1D8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D43B3"/>
    <w:rsid w:val="004E0864"/>
    <w:rsid w:val="004E5750"/>
    <w:rsid w:val="004F463C"/>
    <w:rsid w:val="00502228"/>
    <w:rsid w:val="00503753"/>
    <w:rsid w:val="00504F77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5D9F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4275"/>
    <w:rsid w:val="005755CC"/>
    <w:rsid w:val="00576204"/>
    <w:rsid w:val="005856CB"/>
    <w:rsid w:val="00587B08"/>
    <w:rsid w:val="00591F49"/>
    <w:rsid w:val="0059648F"/>
    <w:rsid w:val="00596AE4"/>
    <w:rsid w:val="005A05B0"/>
    <w:rsid w:val="005A0D67"/>
    <w:rsid w:val="005A25B3"/>
    <w:rsid w:val="005A5C70"/>
    <w:rsid w:val="005B0FE7"/>
    <w:rsid w:val="005B176A"/>
    <w:rsid w:val="005B2426"/>
    <w:rsid w:val="005B3A44"/>
    <w:rsid w:val="005B5E34"/>
    <w:rsid w:val="005C0AEC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57B5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57267"/>
    <w:rsid w:val="0066020B"/>
    <w:rsid w:val="006609B1"/>
    <w:rsid w:val="006617C9"/>
    <w:rsid w:val="0066772D"/>
    <w:rsid w:val="00671BEE"/>
    <w:rsid w:val="00674E29"/>
    <w:rsid w:val="0067552D"/>
    <w:rsid w:val="00682F04"/>
    <w:rsid w:val="00687E16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2BFA"/>
    <w:rsid w:val="006C3001"/>
    <w:rsid w:val="006C3291"/>
    <w:rsid w:val="006C4059"/>
    <w:rsid w:val="006C5FF7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57BA8"/>
    <w:rsid w:val="0076259C"/>
    <w:rsid w:val="00765BDB"/>
    <w:rsid w:val="00767250"/>
    <w:rsid w:val="00767EE2"/>
    <w:rsid w:val="0077448A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2B8E"/>
    <w:rsid w:val="007D40B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4DC3"/>
    <w:rsid w:val="00817DF6"/>
    <w:rsid w:val="0082353E"/>
    <w:rsid w:val="00825CF5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92A69"/>
    <w:rsid w:val="00894077"/>
    <w:rsid w:val="00894922"/>
    <w:rsid w:val="00895E1D"/>
    <w:rsid w:val="0089721C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D547F"/>
    <w:rsid w:val="008E2F6C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36114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381A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97D64"/>
    <w:rsid w:val="009A297F"/>
    <w:rsid w:val="009B3043"/>
    <w:rsid w:val="009B7C8C"/>
    <w:rsid w:val="009C49C7"/>
    <w:rsid w:val="009C7AE3"/>
    <w:rsid w:val="009D0E1A"/>
    <w:rsid w:val="009D242A"/>
    <w:rsid w:val="009D2F0C"/>
    <w:rsid w:val="009D51ED"/>
    <w:rsid w:val="009E0D4E"/>
    <w:rsid w:val="009E6B1A"/>
    <w:rsid w:val="009E75D5"/>
    <w:rsid w:val="009F58FC"/>
    <w:rsid w:val="009F5C6E"/>
    <w:rsid w:val="00A02481"/>
    <w:rsid w:val="00A03226"/>
    <w:rsid w:val="00A0404E"/>
    <w:rsid w:val="00A059A9"/>
    <w:rsid w:val="00A069D8"/>
    <w:rsid w:val="00A1456A"/>
    <w:rsid w:val="00A14D5C"/>
    <w:rsid w:val="00A15E19"/>
    <w:rsid w:val="00A1789A"/>
    <w:rsid w:val="00A21DBA"/>
    <w:rsid w:val="00A220BF"/>
    <w:rsid w:val="00A25982"/>
    <w:rsid w:val="00A2781E"/>
    <w:rsid w:val="00A31144"/>
    <w:rsid w:val="00A31A07"/>
    <w:rsid w:val="00A31EE0"/>
    <w:rsid w:val="00A33B65"/>
    <w:rsid w:val="00A3459B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887"/>
    <w:rsid w:val="00A91405"/>
    <w:rsid w:val="00A93059"/>
    <w:rsid w:val="00A94086"/>
    <w:rsid w:val="00A94D26"/>
    <w:rsid w:val="00A97573"/>
    <w:rsid w:val="00A97F06"/>
    <w:rsid w:val="00AA05B9"/>
    <w:rsid w:val="00AA0B65"/>
    <w:rsid w:val="00AA19E9"/>
    <w:rsid w:val="00AA19EC"/>
    <w:rsid w:val="00AA38C9"/>
    <w:rsid w:val="00AA3EE8"/>
    <w:rsid w:val="00AA48EF"/>
    <w:rsid w:val="00AA5000"/>
    <w:rsid w:val="00AA5B0B"/>
    <w:rsid w:val="00AA6E3E"/>
    <w:rsid w:val="00AA724B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C781F"/>
    <w:rsid w:val="00AD20F1"/>
    <w:rsid w:val="00AD4832"/>
    <w:rsid w:val="00AD7688"/>
    <w:rsid w:val="00AE2A65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7F"/>
    <w:rsid w:val="00B760ED"/>
    <w:rsid w:val="00B77275"/>
    <w:rsid w:val="00B802EA"/>
    <w:rsid w:val="00B816BB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0444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0953"/>
    <w:rsid w:val="00C40DF4"/>
    <w:rsid w:val="00C40F84"/>
    <w:rsid w:val="00C42DB4"/>
    <w:rsid w:val="00C53FD6"/>
    <w:rsid w:val="00C67D65"/>
    <w:rsid w:val="00C703DC"/>
    <w:rsid w:val="00C71191"/>
    <w:rsid w:val="00C74B1D"/>
    <w:rsid w:val="00C75AF9"/>
    <w:rsid w:val="00C7687C"/>
    <w:rsid w:val="00C76ADC"/>
    <w:rsid w:val="00C85E8D"/>
    <w:rsid w:val="00C86708"/>
    <w:rsid w:val="00C86C1B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9DD"/>
    <w:rsid w:val="00CD4CD1"/>
    <w:rsid w:val="00CE119F"/>
    <w:rsid w:val="00CE52E3"/>
    <w:rsid w:val="00CE5AE2"/>
    <w:rsid w:val="00CE5FD7"/>
    <w:rsid w:val="00CE64BE"/>
    <w:rsid w:val="00CF0B8C"/>
    <w:rsid w:val="00CF2540"/>
    <w:rsid w:val="00CF35D8"/>
    <w:rsid w:val="00CF3E5B"/>
    <w:rsid w:val="00CF76EC"/>
    <w:rsid w:val="00D004D3"/>
    <w:rsid w:val="00D02A1E"/>
    <w:rsid w:val="00D17B87"/>
    <w:rsid w:val="00D30945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437F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1304"/>
    <w:rsid w:val="00DB212C"/>
    <w:rsid w:val="00DB4923"/>
    <w:rsid w:val="00DB5835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D78"/>
    <w:rsid w:val="00E548E1"/>
    <w:rsid w:val="00E60426"/>
    <w:rsid w:val="00E623E7"/>
    <w:rsid w:val="00E625A5"/>
    <w:rsid w:val="00E63A8D"/>
    <w:rsid w:val="00E6575C"/>
    <w:rsid w:val="00E65B9A"/>
    <w:rsid w:val="00E6785D"/>
    <w:rsid w:val="00E710DE"/>
    <w:rsid w:val="00E713CE"/>
    <w:rsid w:val="00E7499B"/>
    <w:rsid w:val="00E815B2"/>
    <w:rsid w:val="00E826C6"/>
    <w:rsid w:val="00E82E06"/>
    <w:rsid w:val="00E846C4"/>
    <w:rsid w:val="00E84792"/>
    <w:rsid w:val="00E84C1E"/>
    <w:rsid w:val="00E84C68"/>
    <w:rsid w:val="00E85E2E"/>
    <w:rsid w:val="00E864B1"/>
    <w:rsid w:val="00E86520"/>
    <w:rsid w:val="00E867CC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2D7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45C3"/>
    <w:rsid w:val="00F6544E"/>
    <w:rsid w:val="00F660EC"/>
    <w:rsid w:val="00F708B8"/>
    <w:rsid w:val="00F71407"/>
    <w:rsid w:val="00F7350A"/>
    <w:rsid w:val="00F758FF"/>
    <w:rsid w:val="00F75F53"/>
    <w:rsid w:val="00F81B96"/>
    <w:rsid w:val="00F82F1A"/>
    <w:rsid w:val="00F8452D"/>
    <w:rsid w:val="00F877BA"/>
    <w:rsid w:val="00F90EF2"/>
    <w:rsid w:val="00F91139"/>
    <w:rsid w:val="00F935F1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08B"/>
    <w:rsid w:val="00FB3CFD"/>
    <w:rsid w:val="00FB533A"/>
    <w:rsid w:val="00FB641A"/>
    <w:rsid w:val="00FB73C1"/>
    <w:rsid w:val="00FC085B"/>
    <w:rsid w:val="00FC230A"/>
    <w:rsid w:val="00FC234E"/>
    <w:rsid w:val="00FE24D3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9.bin"/><Relationship Id="rId22" Type="http://schemas.openxmlformats.org/officeDocument/2006/relationships/hyperlink" Target="https://docs.google.com/document/d/12b0YsgYtB3cnhiu39eKqpl6b2guSE04wUk4Gg8G9nt4/edit?pli=1" TargetMode="External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4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hyperlink" Target="http://kld.metalbykevin.com/wp-content/uploads/2013/02/uppertailpdf.jpg" TargetMode="External"/><Relationship Id="rId21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7.bin"/><Relationship Id="rId238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7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jpe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theme" Target="theme/theme1.xml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image" Target="media/image93.png"/><Relationship Id="rId21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8.bin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3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1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7.bin"/><Relationship Id="rId165" Type="http://schemas.openxmlformats.org/officeDocument/2006/relationships/oleObject" Target="embeddings/oleObject75.bin"/><Relationship Id="rId186" Type="http://schemas.openxmlformats.org/officeDocument/2006/relationships/image" Target="media/image91.png"/><Relationship Id="rId211" Type="http://schemas.openxmlformats.org/officeDocument/2006/relationships/oleObject" Target="embeddings/oleObject96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11</Pages>
  <Words>4014</Words>
  <Characters>20357</Characters>
  <Application>Microsoft Office Word</Application>
  <DocSecurity>0</DocSecurity>
  <Lines>782</Lines>
  <Paragraphs>624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862</cp:revision>
  <dcterms:created xsi:type="dcterms:W3CDTF">2013-09-06T15:56:00Z</dcterms:created>
  <dcterms:modified xsi:type="dcterms:W3CDTF">2013-12-11T02:06:00Z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