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a31e7o54nh3" w:id="0"/>
      <w:bookmarkEnd w:id="0"/>
      <w:r w:rsidDel="00000000" w:rsidR="00000000" w:rsidRPr="00000000">
        <w:rPr>
          <w:rtl w:val="0"/>
        </w:rPr>
        <w:t xml:space="preserve">1.2 - Infecciones por Malware General</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1.2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P2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T1566 (Phishing), T1204 (User Execution), T1059 (Command and Scripting Interpreter)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Objetivo:</w:t>
      </w:r>
      <w:r w:rsidDel="00000000" w:rsidR="00000000" w:rsidRPr="00000000">
        <w:rPr>
          <w:rtl w:val="0"/>
        </w:rPr>
        <w:t xml:space="preserve"> Gestionar y mitigar infecciones por software malicioso genérico (troyanos, gusanos, adware, spyware, descargadores) en los endpoints corporativos del cliente, aislando los activos para evitar propagación, eliminando persistencias y normalizando el estado de salud del sistema operativo.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Analista Responsable:</w:t>
      </w:r>
      <w:r w:rsidDel="00000000" w:rsidR="00000000" w:rsidRPr="00000000">
        <w:rPr>
          <w:rtl w:val="0"/>
        </w:rPr>
        <w:t xml:space="preserve"> Nivel 1 (Detección y triaje inicial), Nivel 2 (Análisis forense de persistencia, erradicación y verificación).</w:t>
      </w:r>
    </w:p>
    <w:p w:rsidR="00000000" w:rsidDel="00000000" w:rsidP="00000000" w:rsidRDefault="00000000" w:rsidRPr="00000000" w14:paraId="0000000B">
      <w:pPr>
        <w:pStyle w:val="Heading3"/>
        <w:rPr/>
      </w:pPr>
      <w:bookmarkStart w:colFirst="0" w:colLast="0" w:name="_6xmddulsvqz7"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0">
      <w:pPr>
        <w:pStyle w:val="Heading3"/>
        <w:rPr/>
      </w:pPr>
      <w:bookmarkStart w:colFirst="0" w:colLast="0" w:name="_2jrjrvn043kw" w:id="2"/>
      <w:bookmarkEnd w:id="2"/>
      <w:r w:rsidDel="00000000" w:rsidR="00000000" w:rsidRPr="00000000">
        <w:rPr>
          <w:rtl w:val="0"/>
        </w:rPr>
        <w:t xml:space="preserve">Fase 1: Detección y Análisis</w:t>
      </w:r>
    </w:p>
    <w:p w:rsidR="00000000" w:rsidDel="00000000" w:rsidP="00000000" w:rsidRDefault="00000000" w:rsidRPr="00000000" w14:paraId="00000011">
      <w:pPr>
        <w:rPr/>
      </w:pPr>
      <w:r w:rsidDel="00000000" w:rsidR="00000000" w:rsidRPr="00000000">
        <w:rPr>
          <w:b w:val="1"/>
          <w:bCs w:val="1"/>
          <w:rtl w:val="0"/>
        </w:rPr>
        <w:t xml:space="preserve">Paso 1: Validar Alerta de Malware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Activador</w:t>
      </w:r>
      <w:r w:rsidDel="00000000" w:rsidR="00000000" w:rsidRPr="00000000">
        <w:rPr>
          <w:rtl w:val="0"/>
        </w:rPr>
        <w:t xml:space="preserve"> Alerta del EDR/AV de detección de malware, archivo sospechoso en ejecución, o conexiones salientes anómalas. Comportamiento inusual reportado por el usuario (lentitud extrema, picos de CPU, ventanas emergentes, modificación de archivos). Conexiones salientes detectadas por los sensores de red hacia IPs con reputación maliciosa conocida.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Triaje Rápido:</w:t>
      </w:r>
      <w:r w:rsidDel="00000000" w:rsidR="00000000" w:rsidRPr="00000000">
        <w:rPr>
          <w:rtl w:val="0"/>
        </w:rPr>
        <w:t xml:space="preserve"> Analizar la alerta del EDR para extraer la IP/Nombre de Host, ruta del archivo infectado, hash (MD5/SHA256) y el nombre de la amenaza detectada. </w:t>
      </w:r>
      <w:r w:rsidDel="00000000" w:rsidR="00000000" w:rsidRPr="00000000">
        <w:rPr>
          <w:b w:val="1"/>
          <w:bCs w:val="1"/>
          <w:rtl w:val="0"/>
        </w:rPr>
        <w:t xml:space="preserve">Verificar Reputación:</w:t>
      </w:r>
      <w:r w:rsidDel="00000000" w:rsidR="00000000" w:rsidRPr="00000000">
        <w:rPr>
          <w:rtl w:val="0"/>
        </w:rPr>
        <w:t xml:space="preserve"> Consultar el hash en bases de datos de CTI (ej. VirusTotal, AlienVault, OTX) para determinar la criticidad de la amenaza (FP vs TP). </w:t>
      </w:r>
      <w:r w:rsidDel="00000000" w:rsidR="00000000" w:rsidRPr="00000000">
        <w:rPr>
          <w:b w:val="1"/>
          <w:bCs w:val="1"/>
          <w:rtl w:val="0"/>
        </w:rPr>
        <w:t xml:space="preserve">Crear Ticket en Odoo:</w:t>
      </w:r>
      <w:r w:rsidDel="00000000" w:rsidR="00000000" w:rsidRPr="00000000">
        <w:rPr>
          <w:rtl w:val="0"/>
        </w:rPr>
        <w:t xml:space="preserve"> Abrir un ticket de incidente P2. Asunto: [Malware] - Detección de [Nombre de Amenaza] en [Nombre Host]. </w:t>
      </w:r>
      <w:r w:rsidDel="00000000" w:rsidR="00000000" w:rsidRPr="00000000">
        <w:rPr>
          <w:b w:val="1"/>
          <w:bCs w:val="1"/>
          <w:rtl w:val="0"/>
        </w:rPr>
        <w:t xml:space="preserve">Escalar a N2:</w:t>
      </w:r>
      <w:r w:rsidDel="00000000" w:rsidR="00000000" w:rsidRPr="00000000">
        <w:rPr>
          <w:rtl w:val="0"/>
        </w:rPr>
        <w:t xml:space="preserve"> Si se confirma que es un Troyano persistente, malware con capacidad de propagación lateral o si el antivirus no pudo eliminarlo automáticamente.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Paso 2: Análisis Forense de Persistencia y Causa Raíz</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Identificar Persistencia:</w:t>
      </w:r>
      <w:r w:rsidDel="00000000" w:rsidR="00000000" w:rsidRPr="00000000">
        <w:rPr>
          <w:rtl w:val="0"/>
        </w:rPr>
        <w:t xml:space="preserve"> Analizar el equipo comprometido en busca de persistencias de malware en el sistema (ej. llaves de registro 'Run', servicios de Windows, tareas programadas, accesos directos alterados). </w:t>
      </w:r>
      <w:r w:rsidDel="00000000" w:rsidR="00000000" w:rsidRPr="00000000">
        <w:rPr>
          <w:b w:val="1"/>
          <w:bCs w:val="1"/>
          <w:rtl w:val="0"/>
        </w:rPr>
        <w:t xml:space="preserve">Identificar Causa Raíz:</w:t>
      </w:r>
      <w:r w:rsidDel="00000000" w:rsidR="00000000" w:rsidRPr="00000000">
        <w:rPr>
          <w:rtl w:val="0"/>
        </w:rPr>
        <w:t xml:space="preserve"> Investigar la causa raíz del compromiso revisando logs del navegador del usuario, historial de descargas o cabeceras de correo en busca de vectores de entrega de phishing o descargas no autorizadas.</w:t>
      </w:r>
    </w:p>
    <w:p w:rsidR="00000000" w:rsidDel="00000000" w:rsidP="00000000" w:rsidRDefault="00000000" w:rsidRPr="00000000" w14:paraId="00000018">
      <w:pPr>
        <w:pStyle w:val="Heading3"/>
        <w:rPr/>
      </w:pPr>
      <w:bookmarkStart w:colFirst="0" w:colLast="0" w:name="_wxxokqnihb63" w:id="3"/>
      <w:bookmarkEnd w:id="3"/>
      <w:r w:rsidDel="00000000" w:rsidR="00000000" w:rsidRPr="00000000">
        <w:rPr>
          <w:rtl w:val="0"/>
        </w:rPr>
        <w:t xml:space="preserve">Fase 2: Contención y Mitigación</w:t>
      </w:r>
    </w:p>
    <w:p w:rsidR="00000000" w:rsidDel="00000000" w:rsidP="00000000" w:rsidRDefault="00000000" w:rsidRPr="00000000" w14:paraId="00000019">
      <w:pPr>
        <w:rPr/>
      </w:pPr>
      <w:r w:rsidDel="00000000" w:rsidR="00000000" w:rsidRPr="00000000">
        <w:rPr>
          <w:b w:val="1"/>
          <w:bCs w:val="1"/>
          <w:rtl w:val="0"/>
        </w:rPr>
        <w:t xml:space="preserve">Paso 3: Aislamiento del Activo Comprometido</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Aislamiento Lógico:</w:t>
      </w:r>
      <w:r w:rsidDel="00000000" w:rsidR="00000000" w:rsidRPr="00000000">
        <w:rPr>
          <w:rtl w:val="0"/>
        </w:rPr>
        <w:t xml:space="preserve"> Aislar lógicamente el host de la red mediante la consola del EDR/XDR para evitar la propagación lateral del malware (ej. gusanos que explotan SMB). </w:t>
      </w:r>
      <w:r w:rsidDel="00000000" w:rsidR="00000000" w:rsidRPr="00000000">
        <w:rPr>
          <w:b w:val="1"/>
          <w:bCs w:val="1"/>
          <w:rtl w:val="0"/>
        </w:rPr>
        <w:t xml:space="preserve">Cuarentena de Archivos:</w:t>
      </w:r>
      <w:r w:rsidDel="00000000" w:rsidR="00000000" w:rsidRPr="00000000">
        <w:rPr>
          <w:rtl w:val="0"/>
        </w:rPr>
        <w:t xml:space="preserve"> Ejecutar de forma forzada la cuarentena y eliminación del binario malicioso y de sus copias activas en los directorios de sistema (ej. Temp, AppData). </w:t>
      </w:r>
      <w:r w:rsidDel="00000000" w:rsidR="00000000" w:rsidRPr="00000000">
        <w:rPr>
          <w:b w:val="1"/>
          <w:bCs w:val="1"/>
          <w:rtl w:val="0"/>
        </w:rPr>
        <w:t xml:space="preserve">Terminar Procesos Activos:</w:t>
      </w:r>
      <w:r w:rsidDel="00000000" w:rsidR="00000000" w:rsidRPr="00000000">
        <w:rPr>
          <w:rtl w:val="0"/>
        </w:rPr>
        <w:t xml:space="preserve"> Identificar y finalizar inmediatamente cualquier subproceso malicioso en memoria que el antivirus no haya podido detener. </w:t>
      </w:r>
      <w:r w:rsidDel="00000000" w:rsidR="00000000" w:rsidRPr="00000000">
        <w:rPr>
          <w:b w:val="1"/>
          <w:bCs w:val="1"/>
          <w:rtl w:val="0"/>
        </w:rPr>
        <w:t xml:space="preserve">Bloquear IoCs:</w:t>
      </w:r>
      <w:r w:rsidDel="00000000" w:rsidR="00000000" w:rsidRPr="00000000">
        <w:rPr>
          <w:rtl w:val="0"/>
        </w:rPr>
        <w:t xml:space="preserve"> Bloquear los hashes maliciosos de forma global en la política preventiva del EDR y las IPs/dominios de conexión en el cortafuegos.</w:t>
      </w:r>
    </w:p>
    <w:p w:rsidR="00000000" w:rsidDel="00000000" w:rsidP="00000000" w:rsidRDefault="00000000" w:rsidRPr="00000000" w14:paraId="0000001C">
      <w:pPr>
        <w:pStyle w:val="Heading3"/>
        <w:rPr/>
      </w:pPr>
      <w:bookmarkStart w:colFirst="0" w:colLast="0" w:name="_9j82lzdk5az2" w:id="4"/>
      <w:bookmarkEnd w:id="4"/>
      <w:r w:rsidDel="00000000" w:rsidR="00000000" w:rsidRPr="00000000">
        <w:rPr>
          <w:rtl w:val="0"/>
        </w:rPr>
        <w:t xml:space="preserve">Fase 3: Recuperación y Monitoreo</w:t>
      </w:r>
    </w:p>
    <w:p w:rsidR="00000000" w:rsidDel="00000000" w:rsidP="00000000" w:rsidRDefault="00000000" w:rsidRPr="00000000" w14:paraId="0000001D">
      <w:pPr>
        <w:pStyle w:val="Heading3"/>
        <w:rPr/>
      </w:pPr>
      <w:bookmarkStart w:colFirst="0" w:colLast="0" w:name="_hs2elnxhf37p" w:id="5"/>
      <w:bookmarkEnd w:id="5"/>
      <w:r w:rsidDel="00000000" w:rsidR="00000000" w:rsidRPr="00000000">
        <w:rPr>
          <w:rtl w:val="0"/>
        </w:rPr>
        <w:t xml:space="preserve">Fase RC: Recuperación Coordinada (NIST RC.RP / RC.CO)</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Desinfectar el activo, re-instalar o actualizar firmas del agente de seguridad.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Paso 4: Verificación y Re-Conexión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Limpieza de Registro y Tareas:</w:t>
      </w:r>
      <w:r w:rsidDel="00000000" w:rsidR="00000000" w:rsidRPr="00000000">
        <w:rPr>
          <w:rtl w:val="0"/>
        </w:rPr>
        <w:t xml:space="preserve"> Remover manualmente cualquier llave de registro o tarea programada maliciosa que haya sido identificada en el Paso 2. </w:t>
      </w:r>
      <w:r w:rsidDel="00000000" w:rsidR="00000000" w:rsidRPr="00000000">
        <w:rPr>
          <w:b w:val="1"/>
          <w:bCs w:val="1"/>
          <w:rtl w:val="0"/>
        </w:rPr>
        <w:t xml:space="preserve">Escaneo de Verificación Completo:</w:t>
      </w:r>
      <w:r w:rsidDel="00000000" w:rsidR="00000000" w:rsidRPr="00000000">
        <w:rPr>
          <w:rtl w:val="0"/>
        </w:rPr>
        <w:t xml:space="preserve"> Ejecutar un escaneo completo de sistema profundo (Deep Scan) en el equipo comprometido para validar que la telemetría resulte 100% limpia. </w:t>
      </w:r>
      <w:r w:rsidDel="00000000" w:rsidR="00000000" w:rsidRPr="00000000">
        <w:rPr>
          <w:b w:val="1"/>
          <w:bCs w:val="1"/>
          <w:rtl w:val="0"/>
        </w:rPr>
        <w:t xml:space="preserve">Levantar Aislamiento:</w:t>
      </w:r>
      <w:r w:rsidDel="00000000" w:rsidR="00000000" w:rsidRPr="00000000">
        <w:rPr>
          <w:rtl w:val="0"/>
        </w:rPr>
        <w:t xml:space="preserve"> Una vez confirmado el veredicto de desinfección, levantar el aislamiento de red del host para normalizar el servicio. </w:t>
      </w:r>
      <w:r w:rsidDel="00000000" w:rsidR="00000000" w:rsidRPr="00000000">
        <w:rPr>
          <w:b w:val="1"/>
          <w:bCs w:val="1"/>
          <w:rtl w:val="0"/>
        </w:rPr>
        <w:t xml:space="preserve">Monitoreo Intensivo:</w:t>
      </w:r>
      <w:r w:rsidDel="00000000" w:rsidR="00000000" w:rsidRPr="00000000">
        <w:rPr>
          <w:rtl w:val="0"/>
        </w:rPr>
        <w:t xml:space="preserve"> Monitorear el endpoint por un periodo de 24 horas.</w:t>
      </w:r>
    </w:p>
    <w:p w:rsidR="00000000" w:rsidDel="00000000" w:rsidP="00000000" w:rsidRDefault="00000000" w:rsidRPr="00000000" w14:paraId="00000026">
      <w:pPr>
        <w:pStyle w:val="Heading3"/>
        <w:rPr/>
      </w:pPr>
      <w:bookmarkStart w:colFirst="0" w:colLast="0" w:name="_8djxb9j4yelq" w:id="6"/>
      <w:bookmarkEnd w:id="6"/>
      <w:r w:rsidDel="00000000" w:rsidR="00000000" w:rsidRPr="00000000">
        <w:rPr>
          <w:rtl w:val="0"/>
        </w:rPr>
        <w:t xml:space="preserve">Fase ID.IM: Mejora Continua (NIST ID.IM-03)</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Recomendar hardening de endpoints y parches de software.</w:t>
      </w:r>
    </w:p>
    <w:p w:rsidR="00000000" w:rsidDel="00000000" w:rsidP="00000000" w:rsidRDefault="00000000" w:rsidRPr="00000000" w14:paraId="0000002C">
      <w:pPr>
        <w:pStyle w:val="Heading3"/>
        <w:rPr/>
      </w:pPr>
      <w:bookmarkStart w:colFirst="0" w:colLast="0" w:name="_u6vd7morxex7" w:id="7"/>
      <w:bookmarkEnd w:id="7"/>
      <w:r w:rsidDel="00000000" w:rsidR="00000000" w:rsidRPr="00000000">
        <w:rPr>
          <w:rtl w:val="0"/>
        </w:rPr>
        <w:t xml:space="preserve">Fase 4: Actividad Post-Incidente</w:t>
      </w:r>
    </w:p>
    <w:p w:rsidR="00000000" w:rsidDel="00000000" w:rsidP="00000000" w:rsidRDefault="00000000" w:rsidRPr="00000000" w14:paraId="0000002D">
      <w:pPr>
        <w:rPr/>
      </w:pPr>
      <w:r w:rsidDel="00000000" w:rsidR="00000000" w:rsidRPr="00000000">
        <w:rPr>
          <w:b w:val="1"/>
          <w:bCs w:val="1"/>
          <w:rtl w:val="0"/>
        </w:rPr>
        <w:t xml:space="preserve">Paso 5: Reporte Final y Lecciones Aprendidas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Documentar Resolución:</w:t>
      </w:r>
      <w:r w:rsidDel="00000000" w:rsidR="00000000" w:rsidRPr="00000000">
        <w:rPr>
          <w:rtl w:val="0"/>
        </w:rPr>
        <w:t xml:space="preserve"> Registrar en el ticket el origen de la amenaza y los pasos tomados. </w:t>
      </w:r>
      <w:r w:rsidDel="00000000" w:rsidR="00000000" w:rsidRPr="00000000">
        <w:rPr>
          <w:b w:val="1"/>
          <w:bCs w:val="1"/>
          <w:rtl w:val="0"/>
        </w:rPr>
        <w:t xml:space="preserve">Cierre de Ticket:</w:t>
      </w:r>
      <w:r w:rsidDel="00000000" w:rsidR="00000000" w:rsidRPr="00000000">
        <w:rPr>
          <w:rtl w:val="0"/>
        </w:rPr>
        <w:t xml:space="preserve"> Cerrar formalmente el caso en Odoo con la aceptación del cliente.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