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cneu2xl5tmc7" w:id="0"/>
      <w:bookmarkEnd w:id="0"/>
      <w:r w:rsidDel="00000000" w:rsidR="00000000" w:rsidRPr="00000000">
        <w:rPr>
          <w:rtl w:val="0"/>
        </w:rPr>
        <w:t xml:space="preserve">2.4 - Ataque de Inyección SQL (SQLi)</w:t>
      </w:r>
    </w:p>
    <w:p w:rsidR="00000000" w:rsidDel="00000000" w:rsidP="00000000" w:rsidRDefault="00000000" w:rsidRPr="00000000" w14:paraId="00000002">
      <w:pPr>
        <w:rPr/>
      </w:pPr>
      <w:r w:rsidDel="00000000" w:rsidR="00000000" w:rsidRPr="00000000">
        <w:rPr>
          <w:b w:val="1"/>
          <w:bCs w:val="1"/>
          <w:rtl w:val="0"/>
        </w:rPr>
        <w:t xml:space="preserve">[DATOS GENERALES DE CONTROL - TECHNOMA SOC]</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ID:</w:t>
      </w:r>
      <w:r w:rsidDel="00000000" w:rsidR="00000000" w:rsidRPr="00000000">
        <w:rPr>
          <w:rtl w:val="0"/>
        </w:rPr>
        <w:t xml:space="preserve"> 2.4 | </w:t>
      </w:r>
      <w:r w:rsidDel="00000000" w:rsidR="00000000" w:rsidRPr="00000000">
        <w:rPr>
          <w:b w:val="1"/>
          <w:bCs w:val="1"/>
          <w:rtl w:val="0"/>
        </w:rPr>
        <w:t xml:space="preserve">Tipo:</w:t>
      </w:r>
      <w:r w:rsidDel="00000000" w:rsidR="00000000" w:rsidRPr="00000000">
        <w:rPr>
          <w:rtl w:val="0"/>
        </w:rPr>
        <w:t xml:space="preserve"> Playbook | </w:t>
      </w:r>
      <w:r w:rsidDel="00000000" w:rsidR="00000000" w:rsidRPr="00000000">
        <w:rPr>
          <w:b w:val="1"/>
          <w:bCs w:val="1"/>
          <w:rtl w:val="0"/>
        </w:rPr>
        <w:t xml:space="preserve">Prioridad:</w:t>
      </w:r>
      <w:r w:rsidDel="00000000" w:rsidR="00000000" w:rsidRPr="00000000">
        <w:rPr>
          <w:rtl w:val="0"/>
        </w:rPr>
        <w:t xml:space="preserve"> P2 </w:t>
      </w:r>
      <w:r w:rsidDel="00000000" w:rsidR="00000000" w:rsidRPr="00000000">
        <w:rPr>
          <w:b w:val="1"/>
          <w:bCs w:val="1"/>
          <w:rtl w:val="0"/>
        </w:rPr>
        <w:t xml:space="preserve">Taxonomía:</w:t>
      </w:r>
      <w:r w:rsidDel="00000000" w:rsidR="00000000" w:rsidRPr="00000000">
        <w:rPr>
          <w:rtl w:val="0"/>
        </w:rPr>
        <w:t xml:space="preserve"> other | </w:t>
      </w:r>
      <w:r w:rsidDel="00000000" w:rsidR="00000000" w:rsidRPr="00000000">
        <w:rPr>
          <w:b w:val="1"/>
          <w:bCs w:val="1"/>
          <w:rtl w:val="0"/>
        </w:rPr>
        <w:t xml:space="preserve">Modalidad:</w:t>
      </w:r>
      <w:r w:rsidDel="00000000" w:rsidR="00000000" w:rsidRPr="00000000">
        <w:rPr>
          <w:rtl w:val="0"/>
        </w:rPr>
        <w:t xml:space="preserve"> MD, MDR | </w:t>
      </w:r>
      <w:r w:rsidDel="00000000" w:rsidR="00000000" w:rsidRPr="00000000">
        <w:rPr>
          <w:b w:val="1"/>
          <w:bCs w:val="1"/>
          <w:rtl w:val="0"/>
        </w:rPr>
        <w:t xml:space="preserve">Estado:</w:t>
      </w:r>
      <w:r w:rsidDel="00000000" w:rsidR="00000000" w:rsidRPr="00000000">
        <w:rPr>
          <w:rtl w:val="0"/>
        </w:rPr>
        <w:t xml:space="preserve"> Publicado </w:t>
      </w:r>
      <w:r w:rsidDel="00000000" w:rsidR="00000000" w:rsidRPr="00000000">
        <w:rPr>
          <w:b w:val="1"/>
          <w:bCs w:val="1"/>
          <w:rtl w:val="0"/>
        </w:rPr>
        <w:t xml:space="preserve">Última Revisión:</w:t>
      </w:r>
      <w:r w:rsidDel="00000000" w:rsidR="00000000" w:rsidRPr="00000000">
        <w:rPr>
          <w:rtl w:val="0"/>
        </w:rPr>
        <w:t xml:space="preserve"> 17 de abril de 2026 | </w:t>
      </w:r>
      <w:r w:rsidDel="00000000" w:rsidR="00000000" w:rsidRPr="00000000">
        <w:rPr>
          <w:b w:val="1"/>
          <w:bCs w:val="1"/>
          <w:rtl w:val="0"/>
        </w:rPr>
        <w:t xml:space="preserve">Propietario:</w:t>
      </w:r>
      <w:r w:rsidDel="00000000" w:rsidR="00000000" w:rsidRPr="00000000">
        <w:rPr>
          <w:rtl w:val="0"/>
        </w:rPr>
        <w:t xml:space="preserve"> Ivan Centurion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[ALINEAMIENTO NORMATIVO]</w:t>
      </w:r>
      <w:r w:rsidDel="00000000" w:rsidR="00000000" w:rsidRPr="00000000">
        <w:rPr>
          <w:rtl w:val="0"/>
        </w:rPr>
        <w:t xml:space="preserve"> </w:t>
      </w:r>
      <w:r w:rsidDel="00000000" w:rsidR="00000000" w:rsidRPr="00000000">
        <w:rPr>
          <w:b w:val="1"/>
          <w:bCs w:val="1"/>
          <w:rtl w:val="0"/>
        </w:rPr>
        <w:t xml:space="preserve">Marco:</w:t>
      </w:r>
      <w:r w:rsidDel="00000000" w:rsidR="00000000" w:rsidRPr="00000000">
        <w:rPr>
          <w:rtl w:val="0"/>
        </w:rPr>
        <w:t xml:space="preserve"> NIST SP 800-61 Rev.3 (Abril 2025) / CSF 2.0 </w:t>
      </w:r>
      <w:r w:rsidDel="00000000" w:rsidR="00000000" w:rsidRPr="00000000">
        <w:rPr>
          <w:b w:val="1"/>
          <w:bCs w:val="1"/>
          <w:rtl w:val="0"/>
        </w:rPr>
        <w:t xml:space="preserve">Funciones CSF aplicables:</w:t>
      </w:r>
      <w:r w:rsidDel="00000000" w:rsidR="00000000" w:rsidRPr="00000000">
        <w:rPr>
          <w:rtl w:val="0"/>
        </w:rPr>
        <w:t xml:space="preserve"> DE, RS, RC, ID.IM </w:t>
      </w:r>
      <w:r w:rsidDel="00000000" w:rsidR="00000000" w:rsidRPr="00000000">
        <w:rPr>
          <w:b w:val="1"/>
          <w:bCs w:val="1"/>
          <w:rtl w:val="0"/>
        </w:rPr>
        <w:t xml:space="preserve">Mapeo MITRE ATT&amp;CK:</w:t>
      </w:r>
      <w:r w:rsidDel="00000000" w:rsidR="00000000" w:rsidRPr="00000000">
        <w:rPr>
          <w:rtl w:val="0"/>
        </w:rPr>
        <w:t xml:space="preserve"> T1190 (Exploit Public-Facing Application) </w:t>
      </w:r>
      <w:r w:rsidDel="00000000" w:rsidR="00000000" w:rsidRPr="00000000">
        <w:rPr>
          <w:b w:val="1"/>
          <w:bCs w:val="1"/>
          <w:rtl w:val="0"/>
        </w:rPr>
        <w:t xml:space="preserve">Clasificación:</w:t>
      </w:r>
      <w:r w:rsidDel="00000000" w:rsidR="00000000" w:rsidRPr="00000000">
        <w:rPr>
          <w:rtl w:val="0"/>
        </w:rPr>
        <w:t xml:space="preserve"> SOC</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1. Objetivo del Playbook</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El propósito fundamental de este playbook es la gestión integral de los ataques de Inyección SQL, abarcando las siguientes áreas clave: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Detectar y bloquear de manera proactiva los intentos de inyección de código SQL malicioso. Prevenir el acceso no autorizado, la exfiltración de datos o cualquier manipulación indebida de la información en las bases de datos. Identificar la vulnerabilidad subyacente en el código de la aplicación que permite estos ataques. Coordinar eficazmente con los equipos de desarrollo para implementar soluciones permanentes y robustas.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2. Activación (Trigger)</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Este playbook se activa automáticamente ante la generación de una alerta de alta confianza, ya sea por el WAF (Web Application Firewall) o por Stellar Cyber, en los siguientes escenarios: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Alerta del WAF: "Intento de Inyección SQL". Detección de patrones SQL conocidos, como ' OR 1=1 --, presentes en parámetros de URL o formularios. Errores inesperados en la base de datos que se correlacionan con entradas anómalas por parte del usuario.</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Fase GV/ID: Gobernanza e Identificación (Pre-Incidente)</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Verificar SLAs de comunicación vigentes con el cliente (GV.OC-03).</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Confirmar que el marco legal/regulatorio del cliente está documentado (GV.OC-03).</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Verificar inventario de activos en alcance (ID.AM).</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Validar inteligencia de amenazas actualizada (ID.RA-02).</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3. Proceso de Triage (Analista N1)</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Creación y Asignación del Caso:</w:t>
      </w:r>
      <w:r w:rsidDel="00000000" w:rsidR="00000000" w:rsidRPr="00000000">
        <w:rPr>
          <w:rtl w:val="0"/>
        </w:rPr>
        <w:t xml:space="preserve"> Se debe generar un ticket oficial en el sistema de gestión (Jira). En Stellar Cyber, se creará o asignará un caso automático, el cual se vinculará con el ID del ticket generado. El caso se nombrará siguiendo el formato: [Nombre Aplicación] - [Severidad Alta] - Ataque de Inyección SQL. </w:t>
      </w:r>
      <w:r w:rsidDel="00000000" w:rsidR="00000000" w:rsidRPr="00000000">
        <w:rPr>
          <w:b w:val="1"/>
          <w:bCs w:val="1"/>
          <w:rtl w:val="0"/>
        </w:rPr>
        <w:t xml:space="preserve">Análisis Detallado de la Alerta:</w:t>
      </w:r>
      <w:r w:rsidDel="00000000" w:rsidR="00000000" w:rsidRPr="00000000">
        <w:rPr>
          <w:rtl w:val="0"/>
        </w:rPr>
        <w:t xml:space="preserve"> Revisar minuciosamente los detalles del incidente: dirección IP de origen, URL y parámetro afectado, el payload SQL inyectado y la acción ejecutada por el WAF (si fue bloqueado o solo monitoreado). </w:t>
      </w:r>
      <w:r w:rsidDel="00000000" w:rsidR="00000000" w:rsidRPr="00000000">
        <w:rPr>
          <w:b w:val="1"/>
          <w:bCs w:val="1"/>
          <w:rtl w:val="0"/>
        </w:rPr>
        <w:t xml:space="preserve">Validación de la Actividad:</w:t>
      </w:r>
      <w:r w:rsidDel="00000000" w:rsidR="00000000" w:rsidRPr="00000000">
        <w:rPr>
          <w:rtl w:val="0"/>
        </w:rPr>
        <w:t xml:space="preserve"> Confirmar que el payload detectado es efectivamente malicioso y no se trata de un falso positivo. Verificar la efectividad del WAF en el bloqueo del intento de ataque. </w:t>
      </w:r>
      <w:r w:rsidDel="00000000" w:rsidR="00000000" w:rsidRPr="00000000">
        <w:rPr>
          <w:b w:val="1"/>
          <w:bCs w:val="1"/>
          <w:rtl w:val="0"/>
        </w:rPr>
        <w:t xml:space="preserve">Determinación del Veredicto:</w:t>
      </w:r>
      <w:r w:rsidDel="00000000" w:rsidR="00000000" w:rsidRPr="00000000">
        <w:rPr>
          <w:rtl w:val="0"/>
        </w:rPr>
        <w:t xml:space="preserve"> </w:t>
      </w:r>
      <w:r w:rsidDel="00000000" w:rsidR="00000000" w:rsidRPr="00000000">
        <w:rPr>
          <w:b w:val="1"/>
          <w:bCs w:val="1"/>
          <w:rtl w:val="0"/>
        </w:rPr>
        <w:t xml:space="preserve">Falso Positivo:</w:t>
      </w:r>
      <w:r w:rsidDel="00000000" w:rsidR="00000000" w:rsidRPr="00000000">
        <w:rPr>
          <w:rtl w:val="0"/>
        </w:rPr>
        <w:t xml:space="preserve"> Si se determina que el tráfico es legítimo, se procederá a ajustar la regla del WAF, documentar el caso y cerrarlo. </w:t>
      </w:r>
      <w:r w:rsidDel="00000000" w:rsidR="00000000" w:rsidRPr="00000000">
        <w:rPr>
          <w:b w:val="1"/>
          <w:bCs w:val="1"/>
          <w:rtl w:val="0"/>
        </w:rPr>
        <w:t xml:space="preserve">Incidente Real:</w:t>
      </w:r>
      <w:r w:rsidDel="00000000" w:rsidR="00000000" w:rsidRPr="00000000">
        <w:rPr>
          <w:rtl w:val="0"/>
        </w:rPr>
        <w:t xml:space="preserve"> Si se confirma el ataque, el estado del caso se cambiará a "Aceptado/En Proceso" y se escalará a un nivel superior si cumple con los criterios establecidos.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4. Criterios para Escalación a N2</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Se deberá escalar el incidente de inmediato a un Analista de Nivel 2 si se presenta CUALQUIERA de las siguientes condiciones: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El </w:t>
      </w:r>
      <w:r w:rsidDel="00000000" w:rsidR="00000000" w:rsidRPr="00000000">
        <w:rPr>
          <w:b w:val="1"/>
          <w:bCs w:val="1"/>
          <w:rtl w:val="0"/>
        </w:rPr>
        <w:t xml:space="preserve">WAF opera en modo de solo monitoreo</w:t>
      </w:r>
      <w:r w:rsidDel="00000000" w:rsidR="00000000" w:rsidRPr="00000000">
        <w:rPr>
          <w:rtl w:val="0"/>
        </w:rPr>
        <w:t xml:space="preserve"> y no logró bloquear el ataque. Existe evidencia clara o una alta sospecha de que el </w:t>
      </w:r>
      <w:r w:rsidDel="00000000" w:rsidR="00000000" w:rsidRPr="00000000">
        <w:rPr>
          <w:b w:val="1"/>
          <w:bCs w:val="1"/>
          <w:rtl w:val="0"/>
        </w:rPr>
        <w:t xml:space="preserve">ataque fue exitoso</w:t>
      </w:r>
      <w:r w:rsidDel="00000000" w:rsidR="00000000" w:rsidRPr="00000000">
        <w:rPr>
          <w:rtl w:val="0"/>
        </w:rPr>
        <w:t xml:space="preserve"> (por ejemplo, exfiltración de datos, modificación de registros). El ataque muestra persistencia o emplea </w:t>
      </w:r>
      <w:r w:rsidDel="00000000" w:rsidR="00000000" w:rsidRPr="00000000">
        <w:rPr>
          <w:b w:val="1"/>
          <w:bCs w:val="1"/>
          <w:rtl w:val="0"/>
        </w:rPr>
        <w:t xml:space="preserve">técnicas de evasión</w:t>
      </w:r>
      <w:r w:rsidDel="00000000" w:rsidR="00000000" w:rsidRPr="00000000">
        <w:rPr>
          <w:rtl w:val="0"/>
        </w:rPr>
        <w:t xml:space="preserve"> para ocultar el payload malicioso. La aplicación o la base de datos afectada son </w:t>
      </w:r>
      <w:r w:rsidDel="00000000" w:rsidR="00000000" w:rsidRPr="00000000">
        <w:rPr>
          <w:b w:val="1"/>
          <w:bCs w:val="1"/>
          <w:rtl w:val="0"/>
        </w:rPr>
        <w:t xml:space="preserve">críticas para la continuidad del negocio</w:t>
      </w:r>
      <w:r w:rsidDel="00000000" w:rsidR="00000000" w:rsidRPr="00000000">
        <w:rPr>
          <w:rtl w:val="0"/>
        </w:rPr>
        <w:t xml:space="preser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5. Fases de Respuesta y Remediación (Analista N2)</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5.1. Contención Inmediata</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La prioridad principal es asegurar el bloqueo total del ataque.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Bloqueo de IP de Origen:</w:t>
      </w:r>
      <w:r w:rsidDel="00000000" w:rsidR="00000000" w:rsidRPr="00000000">
        <w:rPr>
          <w:rtl w:val="0"/>
        </w:rPr>
        <w:t xml:space="preserve"> Garantizar que la dirección IP del atacante sea bloqueada tanto en el WAF como en el firewall perimetral. </w:t>
      </w:r>
      <w:r w:rsidDel="00000000" w:rsidR="00000000" w:rsidRPr="00000000">
        <w:rPr>
          <w:b w:val="1"/>
          <w:bCs w:val="1"/>
          <w:rtl w:val="0"/>
        </w:rPr>
        <w:t xml:space="preserve">Creación de Regla Específica en WAF (Virtual Patching):</w:t>
      </w:r>
      <w:r w:rsidDel="00000000" w:rsidR="00000000" w:rsidRPr="00000000">
        <w:rPr>
          <w:rtl w:val="0"/>
        </w:rPr>
        <w:t xml:space="preserve"> Si el ataque consigue evadir las reglas existentes, se debe crear una regla personalizada en el WAF para bloquear el patrón específico del payload malicioso.</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5.2. Comunicación Inicial</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Notificación a Partes Interesadas:</w:t>
      </w:r>
      <w:r w:rsidDel="00000000" w:rsidR="00000000" w:rsidRPr="00000000">
        <w:rPr>
          <w:rtl w:val="0"/>
        </w:rPr>
        <w:t xml:space="preserve"> Consultar la Matriz de Comunicación y notificar al contacto del cliente. Es crucial informar al </w:t>
      </w:r>
      <w:r w:rsidDel="00000000" w:rsidR="00000000" w:rsidRPr="00000000">
        <w:rPr>
          <w:b w:val="1"/>
          <w:bCs w:val="1"/>
          <w:rtl w:val="0"/>
        </w:rPr>
        <w:t xml:space="preserve">equipo de desarrollo de la aplicación</w:t>
      </w:r>
      <w:r w:rsidDel="00000000" w:rsidR="00000000" w:rsidRPr="00000000">
        <w:rPr>
          <w:rtl w:val="0"/>
        </w:rPr>
        <w:t xml:space="preserve"> sobre el ataque y la vulnerabilidad identificada.</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5.3. Investigación y Alcance</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Análisis de Logs (Base de Datos y Aplicación):</w:t>
      </w:r>
      <w:r w:rsidDel="00000000" w:rsidR="00000000" w:rsidRPr="00000000">
        <w:rPr>
          <w:rtl w:val="0"/>
        </w:rPr>
        <w:t xml:space="preserve"> Realizar una investigación exhaustiva en los logs para determinar si el ataque fue exitoso. Se debe establecer si el atacante logró autenticarse, extraer datos (ej. mediante UNION SELECT) o modificar tablas (ej. DROP TABLE). </w:t>
      </w:r>
      <w:r w:rsidDel="00000000" w:rsidR="00000000" w:rsidRPr="00000000">
        <w:rPr>
          <w:b w:val="1"/>
          <w:bCs w:val="1"/>
          <w:rtl w:val="0"/>
        </w:rPr>
        <w:t xml:space="preserve">Identificación de Alcance Adicional:</w:t>
      </w:r>
      <w:r w:rsidDel="00000000" w:rsidR="00000000" w:rsidRPr="00000000">
        <w:rPr>
          <w:rtl w:val="0"/>
        </w:rPr>
        <w:t xml:space="preserve"> Buscar en los logs patrones de ataque similares o la misma IP de origen dirigidos a otras páginas o aplicaciones.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5.4. Erradicación de la Amenaza</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La verdadera amenaza es el código vulnerable; la erradicación implica su corrección.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Coordinación para la Remediación del Código:</w:t>
      </w:r>
      <w:r w:rsidDel="00000000" w:rsidR="00000000" w:rsidRPr="00000000">
        <w:rPr>
          <w:rtl w:val="0"/>
        </w:rPr>
        <w:t xml:space="preserve"> Proporcionar al equipo de desarrollo todos los detalles del ataque para que puedan implementar la solución correcta en el código, preferentemente mediante el uso de </w:t>
      </w:r>
      <w:r w:rsidDel="00000000" w:rsidR="00000000" w:rsidRPr="00000000">
        <w:rPr>
          <w:b w:val="1"/>
          <w:bCs w:val="1"/>
          <w:rtl w:val="0"/>
        </w:rPr>
        <w:t xml:space="preserve">consultas parametrizadas (prepared statements)</w:t>
      </w:r>
      <w:r w:rsidDel="00000000" w:rsidR="00000000" w:rsidRPr="00000000">
        <w:rPr>
          <w:rtl w:val="0"/>
        </w:rPr>
        <w:t xml:space="preserve">. </w:t>
      </w:r>
      <w:r w:rsidDel="00000000" w:rsidR="00000000" w:rsidRPr="00000000">
        <w:rPr>
          <w:b w:val="1"/>
          <w:bCs w:val="1"/>
          <w:rtl w:val="0"/>
        </w:rPr>
        <w:t xml:space="preserve">Rotación de Credenciales de la Base de Datos (si hubo compromiso):</w:t>
      </w:r>
      <w:r w:rsidDel="00000000" w:rsidR="00000000" w:rsidRPr="00000000">
        <w:rPr>
          <w:rtl w:val="0"/>
        </w:rPr>
        <w:t xml:space="preserve"> En caso de confirmarse un ataque exitoso, rotar de inmediato las credenciales de la cuenta de servicio utilizada por la aplicación para conectarse a la base de datos.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5.5. Recuperación y Verificación</w:t>
      </w:r>
      <w:r w:rsidDel="00000000" w:rsidR="00000000" w:rsidRPr="00000000">
        <w:rPr>
          <w:rtl w:val="0"/>
        </w:rPr>
        <w:t xml:space="preserve"> </w:t>
      </w:r>
      <w:r w:rsidDel="00000000" w:rsidR="00000000" w:rsidRPr="00000000">
        <w:rPr>
          <w:b w:val="1"/>
          <w:bCs w:val="1"/>
          <w:rtl w:val="0"/>
        </w:rPr>
        <w:t xml:space="preserve">Fase RC: Recuperación Coordinada (NIST RC.RP / RC.CO)</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SOC actúa como Coordinador de Recuperación.</w:t>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Validar integridad/limpieza del entorno ANTES de reconexión (RC.RP-03).</w:t>
      </w:r>
    </w:p>
    <w:p w:rsidR="00000000" w:rsidDel="00000000" w:rsidP="00000000" w:rsidRDefault="00000000" w:rsidRPr="00000000" w14:paraId="0000003F">
      <w:pPr>
        <w:numPr>
          <w:ilvl w:val="0"/>
          <w:numId w:val="1"/>
        </w:numPr>
        <w:ind w:left="720" w:hanging="360"/>
      </w:pPr>
      <w:r w:rsidDel="00000000" w:rsidR="00000000" w:rsidRPr="00000000">
        <w:rPr>
          <w:rtl w:val="0"/>
        </w:rPr>
        <w:t xml:space="preserve">Comunicar progreso de restauración a directivos del cliente (RC.CO-03).</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Restablecer la confianza en la seguridad de la aplicación y los datos es esencial.</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Restauración de Datos (si aplica):</w:t>
      </w:r>
      <w:r w:rsidDel="00000000" w:rsidR="00000000" w:rsidRPr="00000000">
        <w:rPr>
          <w:rtl w:val="0"/>
        </w:rPr>
        <w:t xml:space="preserve"> Si el atacante modificó o eliminó datos, coordinar con el equipo de TI la restauración de la base de datos a partir de la última copia de seguridad limpia. </w:t>
      </w:r>
      <w:r w:rsidDel="00000000" w:rsidR="00000000" w:rsidRPr="00000000">
        <w:rPr>
          <w:b w:val="1"/>
          <w:bCs w:val="1"/>
          <w:rtl w:val="0"/>
        </w:rPr>
        <w:t xml:space="preserve">Verificación del Parche de Seguridad:</w:t>
      </w:r>
      <w:r w:rsidDel="00000000" w:rsidR="00000000" w:rsidRPr="00000000">
        <w:rPr>
          <w:rtl w:val="0"/>
        </w:rPr>
        <w:t xml:space="preserve"> Una vez que el equipo de desarrollo haya implementado la corrección, realizar pruebas exhaustivas para confirmar que la vulnerabilidad ha sido eliminada.</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Fase ID.IM: Mejora Continua (NIST ID.IM-03)</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numPr>
          <w:ilvl w:val="0"/>
          <w:numId w:val="1"/>
        </w:numPr>
        <w:ind w:left="720" w:hanging="360"/>
      </w:pPr>
      <w:r w:rsidDel="00000000" w:rsidR="00000000" w:rsidRPr="00000000">
        <w:rPr>
          <w:rtl w:val="0"/>
        </w:rPr>
        <w:t xml:space="preserve">Documentar Análisis de Causa Raíz (RCA).</w:t>
      </w:r>
    </w:p>
    <w:p w:rsidR="00000000" w:rsidDel="00000000" w:rsidP="00000000" w:rsidRDefault="00000000" w:rsidRPr="00000000" w14:paraId="00000048">
      <w:pPr>
        <w:numPr>
          <w:ilvl w:val="0"/>
          <w:numId w:val="1"/>
        </w:numPr>
        <w:ind w:left="720" w:hanging="360"/>
      </w:pPr>
      <w:r w:rsidDel="00000000" w:rsidR="00000000" w:rsidRPr="00000000">
        <w:rPr>
          <w:rtl w:val="0"/>
        </w:rPr>
        <w:t xml:space="preserve">Extraer TTPs e IoCs para actualizar reglas SIEM/EDR globales.</w:t>
      </w:r>
    </w:p>
    <w:p w:rsidR="00000000" w:rsidDel="00000000" w:rsidP="00000000" w:rsidRDefault="00000000" w:rsidRPr="00000000" w14:paraId="00000049">
      <w:pPr>
        <w:numPr>
          <w:ilvl w:val="0"/>
          <w:numId w:val="1"/>
        </w:numPr>
        <w:ind w:left="720" w:hanging="360"/>
      </w:pPr>
      <w:r w:rsidDel="00000000" w:rsidR="00000000" w:rsidRPr="00000000">
        <w:rPr>
          <w:rtl w:val="0"/>
        </w:rPr>
        <w:t xml:space="preserve">Modificar controles preventivos (PR) basándose en fallas identificadas.</w:t>
      </w:r>
    </w:p>
    <w:p w:rsidR="00000000" w:rsidDel="00000000" w:rsidP="00000000" w:rsidRDefault="00000000" w:rsidRPr="00000000" w14:paraId="0000004A">
      <w:pPr>
        <w:numPr>
          <w:ilvl w:val="0"/>
          <w:numId w:val="1"/>
        </w:numPr>
        <w:ind w:left="720" w:hanging="360"/>
      </w:pPr>
      <w:r w:rsidDel="00000000" w:rsidR="00000000" w:rsidRPr="00000000">
        <w:rPr>
          <w:rtl w:val="0"/>
        </w:rPr>
        <w:t xml:space="preserve">Cerrar ciclo de riesgo completo.</w:t>
      </w:r>
    </w:p>
    <w:p w:rsidR="00000000" w:rsidDel="00000000" w:rsidP="00000000" w:rsidRDefault="00000000" w:rsidRPr="00000000" w14:paraId="0000004B">
      <w:pPr>
        <w:numPr>
          <w:ilvl w:val="0"/>
          <w:numId w:val="1"/>
        </w:numPr>
        <w:ind w:left="720" w:hanging="360"/>
      </w:pPr>
      <w:r w:rsidDel="00000000" w:rsidR="00000000" w:rsidRPr="00000000">
        <w:rPr>
          <w:rtl w:val="0"/>
        </w:rPr>
        <w:t xml:space="preserve">ID.RA-01: Derivar la vulnerabilidad de inyección SQL directamente al equipo de desarrollo de software para la parametrización de consultas y sanitización de inputs.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6. Cierre y Lecciones Aprendidas (Post-Incidente)</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Documentación Final del Incidente:</w:t>
      </w:r>
      <w:r w:rsidDel="00000000" w:rsidR="00000000" w:rsidRPr="00000000">
        <w:rPr>
          <w:rtl w:val="0"/>
        </w:rPr>
        <w:t xml:space="preserve"> Elaborar un informe detallado en el ticket, incluyendo el tipo de SQLi, la vulnerabilidad de código subyacente y las acciones de remediación implementadas. </w:t>
      </w:r>
      <w:r w:rsidDel="00000000" w:rsidR="00000000" w:rsidRPr="00000000">
        <w:rPr>
          <w:b w:val="1"/>
          <w:bCs w:val="1"/>
          <w:rtl w:val="0"/>
        </w:rPr>
        <w:t xml:space="preserve">Sesión de Lecciones Aprendidas:</w:t>
      </w:r>
      <w:r w:rsidDel="00000000" w:rsidR="00000000" w:rsidRPr="00000000">
        <w:rPr>
          <w:rtl w:val="0"/>
        </w:rPr>
        <w:t xml:space="preserve"> Organizar una reunión con los equipos de seguridad y desarrollo para analizar el incidente y extraer aprendizajes. </w:t>
      </w:r>
      <w:r w:rsidDel="00000000" w:rsidR="00000000" w:rsidRPr="00000000">
        <w:rPr>
          <w:b w:val="1"/>
          <w:bCs w:val="1"/>
          <w:rtl w:val="0"/>
        </w:rPr>
        <w:t xml:space="preserve">Creación de Acciones de Mejora:</w:t>
      </w:r>
      <w:r w:rsidDel="00000000" w:rsidR="00000000" w:rsidRPr="00000000">
        <w:rPr>
          <w:rtl w:val="0"/>
        </w:rPr>
        <w:t xml:space="preserve"> Definir tareas concretas para prevenir futuros incidentes. Ejemplos: "Recomendar formación en desarrollo seguro (OWASP Top 10)", "Implementar revisiones de código estáticas (SAST) en el ciclo de desarrollo", "Realizar un escaneo de vulnerabilidades (DAST) completo a la aplicación".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Cierre Formal del Ticket:</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Una vez que la vulnerabilidad ha sido remediada y verificada, proceder al cierre definitivo del ticket del incidente.</w:t>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