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bdqlau32kxv" w:id="0"/>
      <w:bookmarkEnd w:id="0"/>
      <w:r w:rsidDel="00000000" w:rsidR="00000000" w:rsidRPr="00000000">
        <w:rPr>
          <w:rtl w:val="0"/>
        </w:rPr>
        <w:t xml:space="preserve">2.4 - Escaneo de Puertos y/o vulnerabilidades</w:t>
      </w:r>
    </w:p>
    <w:p w:rsidR="00000000" w:rsidDel="00000000" w:rsidP="00000000" w:rsidRDefault="00000000" w:rsidRPr="00000000" w14:paraId="00000002">
      <w:pPr>
        <w:rPr/>
      </w:pPr>
      <w:r w:rsidDel="00000000" w:rsidR="00000000" w:rsidRPr="00000000">
        <w:rPr>
          <w:b w:val="1"/>
          <w:bCs w:val="1"/>
          <w:rtl w:val="0"/>
        </w:rPr>
        <w:t xml:space="preserve">[DATOS GENERALES DE CONTROL - TECHNOMA SOC]</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ID:</w:t>
      </w:r>
      <w:r w:rsidDel="00000000" w:rsidR="00000000" w:rsidRPr="00000000">
        <w:rPr>
          <w:rtl w:val="0"/>
        </w:rPr>
        <w:t xml:space="preserve"> 2.4 | </w:t>
      </w:r>
      <w:r w:rsidDel="00000000" w:rsidR="00000000" w:rsidRPr="00000000">
        <w:rPr>
          <w:b w:val="1"/>
          <w:bCs w:val="1"/>
          <w:rtl w:val="0"/>
        </w:rPr>
        <w:t xml:space="preserve">Tipo:</w:t>
      </w:r>
      <w:r w:rsidDel="00000000" w:rsidR="00000000" w:rsidRPr="00000000">
        <w:rPr>
          <w:rtl w:val="0"/>
        </w:rPr>
        <w:t xml:space="preserve"> Playbook | </w:t>
      </w:r>
      <w:r w:rsidDel="00000000" w:rsidR="00000000" w:rsidRPr="00000000">
        <w:rPr>
          <w:b w:val="1"/>
          <w:bCs w:val="1"/>
          <w:rtl w:val="0"/>
        </w:rPr>
        <w:t xml:space="preserve">Prioridad:</w:t>
      </w:r>
      <w:r w:rsidDel="00000000" w:rsidR="00000000" w:rsidRPr="00000000">
        <w:rPr>
          <w:rtl w:val="0"/>
        </w:rPr>
        <w:t xml:space="preserve"> P3 </w:t>
      </w:r>
      <w:r w:rsidDel="00000000" w:rsidR="00000000" w:rsidRPr="00000000">
        <w:rPr>
          <w:b w:val="1"/>
          <w:bCs w:val="1"/>
          <w:rtl w:val="0"/>
        </w:rPr>
        <w:t xml:space="preserve">Taxonomía:</w:t>
      </w:r>
      <w:r w:rsidDel="00000000" w:rsidR="00000000" w:rsidRPr="00000000">
        <w:rPr>
          <w:rtl w:val="0"/>
        </w:rPr>
        <w:t xml:space="preserve"> other | </w:t>
      </w:r>
      <w:r w:rsidDel="00000000" w:rsidR="00000000" w:rsidRPr="00000000">
        <w:rPr>
          <w:b w:val="1"/>
          <w:bCs w:val="1"/>
          <w:rtl w:val="0"/>
        </w:rPr>
        <w:t xml:space="preserve">Modalidad:</w:t>
      </w:r>
      <w:r w:rsidDel="00000000" w:rsidR="00000000" w:rsidRPr="00000000">
        <w:rPr>
          <w:rtl w:val="0"/>
        </w:rPr>
        <w:t xml:space="preserve"> MD, MDR | </w:t>
      </w:r>
      <w:r w:rsidDel="00000000" w:rsidR="00000000" w:rsidRPr="00000000">
        <w:rPr>
          <w:b w:val="1"/>
          <w:bCs w:val="1"/>
          <w:rtl w:val="0"/>
        </w:rPr>
        <w:t xml:space="preserve">Estado:</w:t>
      </w:r>
      <w:r w:rsidDel="00000000" w:rsidR="00000000" w:rsidRPr="00000000">
        <w:rPr>
          <w:rtl w:val="0"/>
        </w:rPr>
        <w:t xml:space="preserve"> Publicado </w:t>
      </w:r>
      <w:r w:rsidDel="00000000" w:rsidR="00000000" w:rsidRPr="00000000">
        <w:rPr>
          <w:b w:val="1"/>
          <w:bCs w:val="1"/>
          <w:rtl w:val="0"/>
        </w:rPr>
        <w:t xml:space="preserve">Última Revisión:</w:t>
      </w:r>
      <w:r w:rsidDel="00000000" w:rsidR="00000000" w:rsidRPr="00000000">
        <w:rPr>
          <w:rtl w:val="0"/>
        </w:rPr>
        <w:t xml:space="preserve"> 17 de abril de 2026 | </w:t>
      </w:r>
      <w:r w:rsidDel="00000000" w:rsidR="00000000" w:rsidRPr="00000000">
        <w:rPr>
          <w:b w:val="1"/>
          <w:bCs w:val="1"/>
          <w:rtl w:val="0"/>
        </w:rPr>
        <w:t xml:space="preserve">Propietario:</w:t>
      </w:r>
      <w:r w:rsidDel="00000000" w:rsidR="00000000" w:rsidRPr="00000000">
        <w:rPr>
          <w:rtl w:val="0"/>
        </w:rPr>
        <w:t xml:space="preserve"> Ivan Centurion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[ALINEAMIENTO NORMATIVO]</w:t>
      </w:r>
      <w:r w:rsidDel="00000000" w:rsidR="00000000" w:rsidRPr="00000000">
        <w:rPr>
          <w:rtl w:val="0"/>
        </w:rPr>
        <w:t xml:space="preserve"> </w:t>
      </w:r>
      <w:r w:rsidDel="00000000" w:rsidR="00000000" w:rsidRPr="00000000">
        <w:rPr>
          <w:b w:val="1"/>
          <w:bCs w:val="1"/>
          <w:rtl w:val="0"/>
        </w:rPr>
        <w:t xml:space="preserve">Marco:</w:t>
      </w:r>
      <w:r w:rsidDel="00000000" w:rsidR="00000000" w:rsidRPr="00000000">
        <w:rPr>
          <w:rtl w:val="0"/>
        </w:rPr>
        <w:t xml:space="preserve"> NIST SP 800-61 Rev.3 (Abril 2025) / CSF 2.0 </w:t>
      </w:r>
      <w:r w:rsidDel="00000000" w:rsidR="00000000" w:rsidRPr="00000000">
        <w:rPr>
          <w:b w:val="1"/>
          <w:bCs w:val="1"/>
          <w:rtl w:val="0"/>
        </w:rPr>
        <w:t xml:space="preserve">Funciones CSF aplicables:</w:t>
      </w:r>
      <w:r w:rsidDel="00000000" w:rsidR="00000000" w:rsidRPr="00000000">
        <w:rPr>
          <w:rtl w:val="0"/>
        </w:rPr>
        <w:t xml:space="preserve"> DE, RS, RC, ID.IM </w:t>
      </w:r>
      <w:r w:rsidDel="00000000" w:rsidR="00000000" w:rsidRPr="00000000">
        <w:rPr>
          <w:b w:val="1"/>
          <w:bCs w:val="1"/>
          <w:rtl w:val="0"/>
        </w:rPr>
        <w:t xml:space="preserve">Mapeo MITRE ATT&amp;CK:</w:t>
      </w:r>
      <w:r w:rsidDel="00000000" w:rsidR="00000000" w:rsidRPr="00000000">
        <w:rPr>
          <w:rtl w:val="0"/>
        </w:rPr>
        <w:t xml:space="preserve"> T1595 (Active Scanning), T1190 (Exploit Public-Facing Application) </w:t>
      </w:r>
      <w:r w:rsidDel="00000000" w:rsidR="00000000" w:rsidRPr="00000000">
        <w:rPr>
          <w:b w:val="1"/>
          <w:bCs w:val="1"/>
          <w:rtl w:val="0"/>
        </w:rPr>
        <w:t xml:space="preserve">Clasificación:</w:t>
      </w:r>
      <w:r w:rsidDel="00000000" w:rsidR="00000000" w:rsidRPr="00000000">
        <w:rPr>
          <w:rtl w:val="0"/>
        </w:rPr>
        <w:t xml:space="preserve"> SOC</w:t>
      </w:r>
    </w:p>
    <w:p w:rsidR="00000000" w:rsidDel="00000000" w:rsidP="00000000" w:rsidRDefault="00000000" w:rsidRPr="00000000" w14:paraId="00000007">
      <w:pPr>
        <w:pStyle w:val="Heading3"/>
        <w:rPr/>
      </w:pPr>
      <w:bookmarkStart w:colFirst="0" w:colLast="0" w:name="_bbt1883beguq" w:id="1"/>
      <w:bookmarkEnd w:id="1"/>
      <w:r w:rsidDel="00000000" w:rsidR="00000000" w:rsidRPr="00000000">
        <w:rPr>
          <w:rtl w:val="0"/>
        </w:rPr>
        <w:t xml:space="preserve">Objetivo: Identificar, analizar y contener actividad de red relacionada a eventos de escaneo de puertos y/o detección de servicios en activos de red internos y externos.</w:t>
      </w:r>
    </w:p>
    <w:p w:rsidR="00000000" w:rsidDel="00000000" w:rsidP="00000000" w:rsidRDefault="00000000" w:rsidRPr="00000000" w14:paraId="00000008">
      <w:pPr>
        <w:rPr/>
      </w:pPr>
      <w:r w:rsidDel="00000000" w:rsidR="00000000" w:rsidRPr="00000000">
        <w:rPr>
          <w:b w:val="1"/>
          <w:bCs w:val="1"/>
          <w:rtl w:val="0"/>
        </w:rPr>
        <w:t xml:space="preserve">Analista Responsable:</w:t>
      </w:r>
      <w:r w:rsidDel="00000000" w:rsidR="00000000" w:rsidRPr="00000000">
        <w:rPr>
          <w:rtl w:val="0"/>
        </w:rPr>
        <w:t xml:space="preserve"> Nivel 1 (Triage inicial), Nivel 2 (Análisis profundo y correlación).</w:t>
      </w:r>
    </w:p>
    <w:p w:rsidR="00000000" w:rsidDel="00000000" w:rsidP="00000000" w:rsidRDefault="00000000" w:rsidRPr="00000000" w14:paraId="00000009">
      <w:pPr>
        <w:pStyle w:val="Heading3"/>
        <w:rPr/>
      </w:pPr>
      <w:bookmarkStart w:colFirst="0" w:colLast="0" w:name="_mtqfwworjqby" w:id="2"/>
      <w:bookmarkEnd w:id="2"/>
      <w:r w:rsidDel="00000000" w:rsidR="00000000" w:rsidRPr="00000000">
        <w:rPr>
          <w:rtl w:val="0"/>
        </w:rPr>
        <w:t xml:space="preserve">Fase GV/ID: Gobernanza e Identificación (Pre-Incidente)</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Verificar SLAs de comunicación vigentes con el cliente (GV.OC-03).</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Confirmar que el marco legal/regulatorio del cliente está documentado (GV.OC-03).</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Verificar inventario de activos en alcance (ID.AM).</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Validar inteligencia de amenazas actualizada (ID.RA-02).</w:t>
      </w:r>
    </w:p>
    <w:p w:rsidR="00000000" w:rsidDel="00000000" w:rsidP="00000000" w:rsidRDefault="00000000" w:rsidRPr="00000000" w14:paraId="0000000E">
      <w:pPr>
        <w:pStyle w:val="Heading3"/>
        <w:rPr/>
      </w:pPr>
      <w:bookmarkStart w:colFirst="0" w:colLast="0" w:name="_phiopanjz25z" w:id="3"/>
      <w:bookmarkEnd w:id="3"/>
      <w:r w:rsidDel="00000000" w:rsidR="00000000" w:rsidRPr="00000000">
        <w:rPr>
          <w:rtl w:val="0"/>
        </w:rPr>
        <w:t xml:space="preserve">Fase 1: Detección y Análisis</w:t>
      </w:r>
    </w:p>
    <w:p w:rsidR="00000000" w:rsidDel="00000000" w:rsidP="00000000" w:rsidRDefault="00000000" w:rsidRPr="00000000" w14:paraId="0000000F">
      <w:pPr>
        <w:rPr/>
      </w:pPr>
      <w:r w:rsidDel="00000000" w:rsidR="00000000" w:rsidRPr="00000000">
        <w:rPr>
          <w:b w:val="1"/>
          <w:bCs w:val="1"/>
          <w:rtl w:val="0"/>
        </w:rPr>
        <w:t xml:space="preserve">Paso 1: Validar la Alerta de Red</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Activador:</w:t>
      </w:r>
      <w:r w:rsidDel="00000000" w:rsidR="00000000" w:rsidRPr="00000000">
        <w:rPr>
          <w:rtl w:val="0"/>
        </w:rPr>
        <w:t xml:space="preserve"> Tipo de Alerta de Stellar Cyber Emerging Threat Threat SYN Flood Threat Source IP SYN Flood SQLi O en la alerta de SIEM (correlación de eventos) alerta de Firewall/Proxy (intentos de conexiones desde IPs ) alerta de EDR (proceso estableciendo conexión sospechosa). </w:t>
      </w:r>
      <w:r w:rsidDel="00000000" w:rsidR="00000000" w:rsidRPr="00000000">
        <w:rPr>
          <w:b w:val="1"/>
          <w:bCs w:val="1"/>
          <w:rtl w:val="0"/>
        </w:rPr>
        <w:t xml:space="preserve">Acción (N1):</w:t>
      </w:r>
      <w:r w:rsidDel="00000000" w:rsidR="00000000" w:rsidRPr="00000000">
        <w:rPr>
          <w:rtl w:val="0"/>
        </w:rPr>
        <w:t xml:space="preserve"> </w:t>
      </w:r>
      <w:r w:rsidDel="00000000" w:rsidR="00000000" w:rsidRPr="00000000">
        <w:rPr>
          <w:b w:val="1"/>
          <w:bCs w:val="1"/>
          <w:rtl w:val="0"/>
        </w:rPr>
        <w:t xml:space="preserve">Recopilar Datos Clave:</w:t>
      </w:r>
      <w:r w:rsidDel="00000000" w:rsidR="00000000" w:rsidRPr="00000000">
        <w:rPr>
          <w:rtl w:val="0"/>
        </w:rPr>
        <w:t xml:space="preserve"> De la alerta, extraer los "Key Fields": Tenant Source IP Source Host Destination IP Destination Host Source Reputation </w:t>
      </w:r>
      <w:r w:rsidDel="00000000" w:rsidR="00000000" w:rsidRPr="00000000">
        <w:rPr>
          <w:b w:val="1"/>
          <w:bCs w:val="1"/>
          <w:rtl w:val="0"/>
        </w:rPr>
        <w:t xml:space="preserve">Investigación de Reputación:</w:t>
      </w:r>
      <w:r w:rsidDel="00000000" w:rsidR="00000000" w:rsidRPr="00000000">
        <w:rPr>
          <w:rtl w:val="0"/>
        </w:rPr>
        <w:t xml:space="preserve"> Verificar la reputación de la IP/dominio de destino en herramientas como VirusTotal, AbuseIPDB, Talos Intelligence, OTX LevelBlue.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Whois LookUp de la plataforma Stellar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Identificar el Activo Interno:</w:t>
      </w:r>
      <w:r w:rsidDel="00000000" w:rsidR="00000000" w:rsidRPr="00000000">
        <w:rPr>
          <w:rtl w:val="0"/>
        </w:rPr>
        <w:t xml:space="preserve"> Determinar a qué equipo corresponde la IP de Origen o Destino (Hostname, usuario, Tipo de Activo).</w:t>
      </w:r>
    </w:p>
    <w:p w:rsidR="00000000" w:rsidDel="00000000" w:rsidP="00000000" w:rsidRDefault="00000000" w:rsidRPr="00000000" w14:paraId="00000016">
      <w:pPr>
        <w:pStyle w:val="Heading3"/>
        <w:rPr/>
      </w:pPr>
      <w:bookmarkStart w:colFirst="0" w:colLast="0" w:name="_nv7p7snfcjab" w:id="4"/>
      <w:bookmarkEnd w:id="4"/>
      <w:r w:rsidDel="00000000" w:rsidR="00000000" w:rsidRPr="00000000">
        <w:rPr>
          <w:rtl w:val="0"/>
        </w:rPr>
        <w:t xml:space="preserve">Fase 2: Contención</w:t>
      </w:r>
    </w:p>
    <w:p w:rsidR="00000000" w:rsidDel="00000000" w:rsidP="00000000" w:rsidRDefault="00000000" w:rsidRPr="00000000" w14:paraId="00000017">
      <w:pPr>
        <w:rPr/>
      </w:pPr>
      <w:r w:rsidDel="00000000" w:rsidR="00000000" w:rsidRPr="00000000">
        <w:rPr>
          <w:b w:val="1"/>
          <w:bCs w:val="1"/>
          <w:rtl w:val="0"/>
        </w:rPr>
        <w:t xml:space="preserve">Crear Ticket:</w:t>
      </w:r>
      <w:r w:rsidDel="00000000" w:rsidR="00000000" w:rsidRPr="00000000">
        <w:rPr>
          <w:rtl w:val="0"/>
        </w:rPr>
        <w:t xml:space="preserve"> Abrir ticket de </w:t>
      </w:r>
      <w:r w:rsidDel="00000000" w:rsidR="00000000" w:rsidRPr="00000000">
        <w:rPr>
          <w:b w:val="1"/>
          <w:bCs w:val="1"/>
          <w:rtl w:val="0"/>
        </w:rPr>
        <w:t xml:space="preserve">Prioridad Medio(Si aún la herramienta del Stellar no la ha creado), o si ya fue creado el caso preferentemente cambiar la prioridad del caso a nivel “medio”</w:t>
      </w:r>
      <w:r w:rsidDel="00000000" w:rsidR="00000000" w:rsidRPr="00000000">
        <w:rPr>
          <w:rtl w:val="0"/>
        </w:rPr>
        <w:t xml:space="preserve"> agregando al asunto del caso “Asunto: [Escaneo] [SQL Inyección] - Host [Hostname/IP(origen/fluente)]". Esta acción creará en la herramienta de Jira un caso El analista debe asignarse el caso en el stellar cyber y en la herramienta de ITSM o Jira El analista registra las acciones de RFA Bloqueo el tráfico de origen en el firewall desde la IP en señalada como origen SI CORRESPONDE, Analizar acción de mitigación del evento (en el caso de que un servidor web o otro activo crítico se encuentre realizando un escaneo hacia internet o de forma interna)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Si tiene alguna duda y/o consulta, puede responder este correo para tener más información.-</w:t>
      </w:r>
    </w:p>
    <w:p w:rsidR="00000000" w:rsidDel="00000000" w:rsidP="00000000" w:rsidRDefault="00000000" w:rsidRPr="00000000" w14:paraId="0000001A">
      <w:pPr>
        <w:pStyle w:val="Heading3"/>
        <w:rPr/>
      </w:pPr>
      <w:bookmarkStart w:colFirst="0" w:colLast="0" w:name="_pyslahz31bu5" w:id="5"/>
      <w:bookmarkEnd w:id="5"/>
      <w:r w:rsidDel="00000000" w:rsidR="00000000" w:rsidRPr="00000000">
        <w:rPr>
          <w:rtl w:val="0"/>
        </w:rPr>
        <w:t xml:space="preserve">Fase 3: Erradicación y Análisis Profundo</w:t>
      </w:r>
    </w:p>
    <w:p w:rsidR="00000000" w:rsidDel="00000000" w:rsidP="00000000" w:rsidRDefault="00000000" w:rsidRPr="00000000" w14:paraId="0000001B">
      <w:pPr>
        <w:pStyle w:val="Heading3"/>
        <w:rPr/>
      </w:pPr>
      <w:bookmarkStart w:colFirst="0" w:colLast="0" w:name="_27omdteu07j8" w:id="6"/>
      <w:bookmarkEnd w:id="6"/>
      <w:r w:rsidDel="00000000" w:rsidR="00000000" w:rsidRPr="00000000">
        <w:rPr>
          <w:rtl w:val="0"/>
        </w:rPr>
        <w:t xml:space="preserve">Fase RC: Recuperación Coordinada (NIST RC.RP / RC.CO)</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SOC actúa como Coordinador de Recuperación.</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Validar integridad/limpieza del entorno ANTES de reconexión (RC.RP-03).</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Comunicar progreso de restauración a directivos del cliente (RC.CO-03).</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NA</w:t>
      </w:r>
    </w:p>
    <w:p w:rsidR="00000000" w:rsidDel="00000000" w:rsidP="00000000" w:rsidRDefault="00000000" w:rsidRPr="00000000" w14:paraId="00000021">
      <w:pPr>
        <w:pStyle w:val="Heading3"/>
        <w:rPr/>
      </w:pPr>
      <w:bookmarkStart w:colFirst="0" w:colLast="0" w:name="_jgdsovt13vqz" w:id="7"/>
      <w:bookmarkEnd w:id="7"/>
      <w:r w:rsidDel="00000000" w:rsidR="00000000" w:rsidRPr="00000000">
        <w:rPr>
          <w:rtl w:val="0"/>
        </w:rPr>
        <w:t xml:space="preserve">Fase ID.IM: Mejora Continua (NIST ID.IM-03)</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Documentar Análisis de Causa Raíz (RCA).</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Extraer TTPs e IoCs para actualizar reglas SIEM/EDR globales.</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Modificar controles preventivos (PR) basándose en fallas identificadas.</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Cerrar ciclo de riesgo completo.</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ID.RA-01: Derivar los resultados de los escaneos de puertos y vulnerabilidades al equipo de DevSecOps/Seguridad de Aplicaciones para su incorporación en ciclos de análisis SAST/DAST.</w:t>
      </w:r>
    </w:p>
    <w:p w:rsidR="00000000" w:rsidDel="00000000" w:rsidP="00000000" w:rsidRDefault="00000000" w:rsidRPr="00000000" w14:paraId="00000027">
      <w:pPr>
        <w:pStyle w:val="Heading3"/>
        <w:rPr/>
      </w:pPr>
      <w:bookmarkStart w:colFirst="0" w:colLast="0" w:name="_yb356kx0xam6" w:id="8"/>
      <w:bookmarkEnd w:id="8"/>
      <w:r w:rsidDel="00000000" w:rsidR="00000000" w:rsidRPr="00000000">
        <w:rPr>
          <w:rtl w:val="0"/>
        </w:rPr>
        <w:t xml:space="preserve">Fase 4: Actividad Post-Incidente</w:t>
      </w:r>
    </w:p>
    <w:p w:rsidR="00000000" w:rsidDel="00000000" w:rsidP="00000000" w:rsidRDefault="00000000" w:rsidRPr="00000000" w14:paraId="00000028">
      <w:pPr>
        <w:rPr/>
      </w:pPr>
      <w:r w:rsidDel="00000000" w:rsidR="00000000" w:rsidRPr="00000000">
        <w:rPr>
          <w:b w:val="1"/>
          <w:bCs w:val="1"/>
          <w:rtl w:val="0"/>
        </w:rPr>
        <w:t xml:space="preserve">Paso 4: Cierre del Incidente de Red</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Acción (N1):</w:t>
      </w:r>
      <w:r w:rsidDel="00000000" w:rsidR="00000000" w:rsidRPr="00000000">
        <w:rPr>
          <w:rtl w:val="0"/>
        </w:rPr>
        <w:t xml:space="preserve"> </w:t>
      </w:r>
      <w:r w:rsidDel="00000000" w:rsidR="00000000" w:rsidRPr="00000000">
        <w:rPr>
          <w:b w:val="1"/>
          <w:bCs w:val="1"/>
          <w:rtl w:val="0"/>
        </w:rPr>
        <w:t xml:space="preserve">Confirmar Cese de Tráfico:</w:t>
      </w:r>
      <w:r w:rsidDel="00000000" w:rsidR="00000000" w:rsidRPr="00000000">
        <w:rPr>
          <w:rtl w:val="0"/>
        </w:rPr>
        <w:t xml:space="preserve"> Verificar en los logs del firewall que no hay más intentos de conexión hacia el destino malicioso desde ningún otro punto de la red. </w:t>
      </w:r>
      <w:r w:rsidDel="00000000" w:rsidR="00000000" w:rsidRPr="00000000">
        <w:rPr>
          <w:b w:val="1"/>
          <w:bCs w:val="1"/>
          <w:rtl w:val="0"/>
        </w:rPr>
        <w:t xml:space="preserve">Documentar en el Ticket:</w:t>
      </w:r>
      <w:r w:rsidDel="00000000" w:rsidR="00000000" w:rsidRPr="00000000">
        <w:rPr>
          <w:rtl w:val="0"/>
        </w:rPr>
        <w:t xml:space="preserve"> Enlazar el ticket del incidente de red con el ticket del incidente de host que se abrió. Añadir un resumen de las acciones de bloqueo realizadas en el perímetro. </w:t>
      </w:r>
      <w:r w:rsidDel="00000000" w:rsidR="00000000" w:rsidRPr="00000000">
        <w:rPr>
          <w:b w:val="1"/>
          <w:bCs w:val="1"/>
          <w:rtl w:val="0"/>
        </w:rPr>
        <w:t xml:space="preserve">Cerrar Ticket:</w:t>
      </w:r>
      <w:r w:rsidDel="00000000" w:rsidR="00000000" w:rsidRPr="00000000">
        <w:rPr>
          <w:rtl w:val="0"/>
        </w:rPr>
        <w:t xml:space="preserve"> Una vez que la amenaza en el host ha sido erradicada, se puede cerrar este ticket.</w:t>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