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pil7cyy2yoqd" w:id="0"/>
      <w:bookmarkEnd w:id="0"/>
      <w:r w:rsidDel="00000000" w:rsidR="00000000" w:rsidRPr="00000000">
        <w:rPr>
          <w:rtl w:val="0"/>
        </w:rPr>
        <w:t xml:space="preserve">3.4 - Phishing y URL maliciosas</w:t>
      </w:r>
    </w:p>
    <w:p w:rsidR="00000000" w:rsidDel="00000000" w:rsidP="00000000" w:rsidRDefault="00000000" w:rsidRPr="00000000" w14:paraId="00000002">
      <w:pPr>
        <w:rPr/>
      </w:pPr>
      <w:r w:rsidDel="00000000" w:rsidR="00000000" w:rsidRPr="00000000">
        <w:rPr>
          <w:b w:val="1"/>
          <w:bCs w:val="1"/>
          <w:rtl w:val="0"/>
        </w:rPr>
        <w:t xml:space="preserve">[DATOS GENERALES DE CONTROL - TECHNOMA SOC]</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ID:</w:t>
      </w:r>
      <w:r w:rsidDel="00000000" w:rsidR="00000000" w:rsidRPr="00000000">
        <w:rPr>
          <w:rtl w:val="0"/>
        </w:rPr>
        <w:t xml:space="preserve"> 3.4 | </w:t>
      </w:r>
      <w:r w:rsidDel="00000000" w:rsidR="00000000" w:rsidRPr="00000000">
        <w:rPr>
          <w:b w:val="1"/>
          <w:bCs w:val="1"/>
          <w:rtl w:val="0"/>
        </w:rPr>
        <w:t xml:space="preserve">Tipo:</w:t>
      </w:r>
      <w:r w:rsidDel="00000000" w:rsidR="00000000" w:rsidRPr="00000000">
        <w:rPr>
          <w:rtl w:val="0"/>
        </w:rPr>
        <w:t xml:space="preserve"> Playbook | </w:t>
      </w:r>
      <w:r w:rsidDel="00000000" w:rsidR="00000000" w:rsidRPr="00000000">
        <w:rPr>
          <w:b w:val="1"/>
          <w:bCs w:val="1"/>
          <w:rtl w:val="0"/>
        </w:rPr>
        <w:t xml:space="preserve">Prioridad:</w:t>
      </w:r>
      <w:r w:rsidDel="00000000" w:rsidR="00000000" w:rsidRPr="00000000">
        <w:rPr>
          <w:rtl w:val="0"/>
        </w:rPr>
        <w:t xml:space="preserve"> P2 </w:t>
      </w:r>
      <w:r w:rsidDel="00000000" w:rsidR="00000000" w:rsidRPr="00000000">
        <w:rPr>
          <w:b w:val="1"/>
          <w:bCs w:val="1"/>
          <w:rtl w:val="0"/>
        </w:rPr>
        <w:t xml:space="preserve">Taxonomía:</w:t>
      </w:r>
      <w:r w:rsidDel="00000000" w:rsidR="00000000" w:rsidRPr="00000000">
        <w:rPr>
          <w:rtl w:val="0"/>
        </w:rPr>
        <w:t xml:space="preserve"> other | </w:t>
      </w:r>
      <w:r w:rsidDel="00000000" w:rsidR="00000000" w:rsidRPr="00000000">
        <w:rPr>
          <w:b w:val="1"/>
          <w:bCs w:val="1"/>
          <w:rtl w:val="0"/>
        </w:rPr>
        <w:t xml:space="preserve">Modalidad:</w:t>
      </w:r>
      <w:r w:rsidDel="00000000" w:rsidR="00000000" w:rsidRPr="00000000">
        <w:rPr>
          <w:rtl w:val="0"/>
        </w:rPr>
        <w:t xml:space="preserve"> MD, MDR | </w:t>
      </w:r>
      <w:r w:rsidDel="00000000" w:rsidR="00000000" w:rsidRPr="00000000">
        <w:rPr>
          <w:b w:val="1"/>
          <w:bCs w:val="1"/>
          <w:rtl w:val="0"/>
        </w:rPr>
        <w:t xml:space="preserve">Estado:</w:t>
      </w:r>
      <w:r w:rsidDel="00000000" w:rsidR="00000000" w:rsidRPr="00000000">
        <w:rPr>
          <w:rtl w:val="0"/>
        </w:rPr>
        <w:t xml:space="preserve"> Publicado </w:t>
      </w:r>
      <w:r w:rsidDel="00000000" w:rsidR="00000000" w:rsidRPr="00000000">
        <w:rPr>
          <w:b w:val="1"/>
          <w:bCs w:val="1"/>
          <w:rtl w:val="0"/>
        </w:rPr>
        <w:t xml:space="preserve">Última Revisión:</w:t>
      </w:r>
      <w:r w:rsidDel="00000000" w:rsidR="00000000" w:rsidRPr="00000000">
        <w:rPr>
          <w:rtl w:val="0"/>
        </w:rPr>
        <w:t xml:space="preserve"> 17 de abril de 2026 | </w:t>
      </w:r>
      <w:r w:rsidDel="00000000" w:rsidR="00000000" w:rsidRPr="00000000">
        <w:rPr>
          <w:b w:val="1"/>
          <w:bCs w:val="1"/>
          <w:rtl w:val="0"/>
        </w:rPr>
        <w:t xml:space="preserve">Propietario:</w:t>
      </w:r>
      <w:r w:rsidDel="00000000" w:rsidR="00000000" w:rsidRPr="00000000">
        <w:rPr>
          <w:rtl w:val="0"/>
        </w:rPr>
        <w:t xml:space="preserve"> Ivan Centurion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[ALINEAMIENTO NORMATIVO]</w:t>
      </w:r>
      <w:r w:rsidDel="00000000" w:rsidR="00000000" w:rsidRPr="00000000">
        <w:rPr>
          <w:rtl w:val="0"/>
        </w:rPr>
        <w:t xml:space="preserve"> </w:t>
      </w:r>
      <w:r w:rsidDel="00000000" w:rsidR="00000000" w:rsidRPr="00000000">
        <w:rPr>
          <w:b w:val="1"/>
          <w:bCs w:val="1"/>
          <w:rtl w:val="0"/>
        </w:rPr>
        <w:t xml:space="preserve">Marco:</w:t>
      </w:r>
      <w:r w:rsidDel="00000000" w:rsidR="00000000" w:rsidRPr="00000000">
        <w:rPr>
          <w:rtl w:val="0"/>
        </w:rPr>
        <w:t xml:space="preserve"> NIST SP 800-61 Rev.3 (Abril 2025) / CSF 2.0 </w:t>
      </w:r>
      <w:r w:rsidDel="00000000" w:rsidR="00000000" w:rsidRPr="00000000">
        <w:rPr>
          <w:b w:val="1"/>
          <w:bCs w:val="1"/>
          <w:rtl w:val="0"/>
        </w:rPr>
        <w:t xml:space="preserve">Funciones CSF aplicables:</w:t>
      </w:r>
      <w:r w:rsidDel="00000000" w:rsidR="00000000" w:rsidRPr="00000000">
        <w:rPr>
          <w:rtl w:val="0"/>
        </w:rPr>
        <w:t xml:space="preserve"> DE, RS, RC, ID.IM </w:t>
      </w:r>
      <w:r w:rsidDel="00000000" w:rsidR="00000000" w:rsidRPr="00000000">
        <w:rPr>
          <w:b w:val="1"/>
          <w:bCs w:val="1"/>
          <w:rtl w:val="0"/>
        </w:rPr>
        <w:t xml:space="preserve">Mapeo MITRE ATT&amp;CK:</w:t>
      </w:r>
      <w:r w:rsidDel="00000000" w:rsidR="00000000" w:rsidRPr="00000000">
        <w:rPr>
          <w:rtl w:val="0"/>
        </w:rPr>
        <w:t xml:space="preserve"> T1566 (Phishing), T1566.001 (Spearphishing Attachment), T1566.002 (Spearphishing Link) </w:t>
      </w:r>
      <w:r w:rsidDel="00000000" w:rsidR="00000000" w:rsidRPr="00000000">
        <w:rPr>
          <w:b w:val="1"/>
          <w:bCs w:val="1"/>
          <w:rtl w:val="0"/>
        </w:rPr>
        <w:t xml:space="preserve">Clasificación:</w:t>
      </w:r>
      <w:r w:rsidDel="00000000" w:rsidR="00000000" w:rsidRPr="00000000">
        <w:rPr>
          <w:rtl w:val="0"/>
        </w:rPr>
        <w:t xml:space="preserve"> SOC</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1. Objetivo</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El objetivo principal de este playbook es gestionar incidentes de phishing, abarcando desde la identificación inicial hasta la recuperación completa. Esto implica:</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Minimizar el riesgo de compromiso de credenciales Prevenir infecciones por malware Evitar el movimiento lateral dentro de la red Implementar mejoras continuas para prevenir futuros ataques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2. Disparador</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Este playbook se activa al generarse una alerta de alta confianza en Stellar Cyber, específicamente las siguientes: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"Phishing URL" “Emerging Threat” “Recently Registered Domains” “Bad Destination Reputation Anomaly” “Uncommon Top-Level Domain Anomaly”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Fase GV/ID: Gobernanza e Identificación (Pre-Incidente)</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Verificar SLAs de comunicación vigentes con el cliente (GV.OC-03).</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Confirmar que el marco legal/regulatorio del cliente está documentado (GV.OC-03).</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Verificar inventario de activos en alcance (ID.AM).</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Validar inteligencia de amenazas actualizada (ID.RA-02).</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3. Proceso de Triage (Analista N1)</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Creación y Asignación del Caso:</w:t>
      </w:r>
      <w:r w:rsidDel="00000000" w:rsidR="00000000" w:rsidRPr="00000000">
        <w:rPr>
          <w:rtl w:val="0"/>
        </w:rPr>
        <w:t xml:space="preserve"> Generar un ticket en el sistema de gestión (Jira), si el ticket ya no ha sido creado de forma automática por la plataforma de Stellar, para documentar el incidente y la comunicación con el cliente. En Stellar Cyber, crear o asignar el caso automático al analista de turno, vinculando el ID del ticket para asegurar la trazabilidad. Nombrar el caso: [Nombre Activo] - [Severidad] - Acceso a URL de Phishing. </w:t>
      </w:r>
      <w:r w:rsidDel="00000000" w:rsidR="00000000" w:rsidRPr="00000000">
        <w:rPr>
          <w:b w:val="1"/>
          <w:bCs w:val="1"/>
          <w:rtl w:val="0"/>
        </w:rPr>
        <w:t xml:space="preserve">Análisis Detallado:</w:t>
      </w:r>
      <w:r w:rsidDel="00000000" w:rsidR="00000000" w:rsidRPr="00000000">
        <w:rPr>
          <w:rtl w:val="0"/>
        </w:rPr>
        <w:t xml:space="preserve"> Revisar los aspectos clave del incidente: URL, IP de destino, host de origen, usuario involucrado y puntuaciones de riesgo. </w:t>
      </w:r>
      <w:r w:rsidDel="00000000" w:rsidR="00000000" w:rsidRPr="00000000">
        <w:rPr>
          <w:b w:val="1"/>
          <w:bCs w:val="1"/>
          <w:rtl w:val="0"/>
        </w:rPr>
        <w:t xml:space="preserve">Validación de la URL:</w:t>
      </w:r>
      <w:r w:rsidDel="00000000" w:rsidR="00000000" w:rsidRPr="00000000">
        <w:rPr>
          <w:rtl w:val="0"/>
        </w:rPr>
        <w:t xml:space="preserve"> Validar que la URL corresponde a un elemento de phishing o URL Maliciosa </w:t>
      </w:r>
      <w:r w:rsidDel="00000000" w:rsidR="00000000" w:rsidRPr="00000000">
        <w:rPr>
          <w:b w:val="1"/>
          <w:bCs w:val="1"/>
          <w:rtl w:val="0"/>
        </w:rPr>
        <w:t xml:space="preserve">Determinación del Veredicto:</w:t>
      </w:r>
      <w:r w:rsidDel="00000000" w:rsidR="00000000" w:rsidRPr="00000000">
        <w:rPr>
          <w:rtl w:val="0"/>
        </w:rPr>
        <w:t xml:space="preserve"> </w:t>
      </w:r>
      <w:r w:rsidDel="00000000" w:rsidR="00000000" w:rsidRPr="00000000">
        <w:rPr>
          <w:b w:val="1"/>
          <w:bCs w:val="1"/>
          <w:rtl w:val="0"/>
        </w:rPr>
        <w:t xml:space="preserve">URL legitima:</w:t>
      </w:r>
      <w:r w:rsidDel="00000000" w:rsidR="00000000" w:rsidRPr="00000000">
        <w:rPr>
          <w:rtl w:val="0"/>
        </w:rPr>
        <w:t xml:space="preserve"> Si la URL es legítima, se marca el incidente como tal, se notifica al usuario si es necesario, se documenta y se cierra el caso. </w:t>
      </w:r>
      <w:r w:rsidDel="00000000" w:rsidR="00000000" w:rsidRPr="00000000">
        <w:rPr>
          <w:b w:val="1"/>
          <w:bCs w:val="1"/>
          <w:rtl w:val="0"/>
        </w:rPr>
        <w:t xml:space="preserve">URL Maliciosa:</w:t>
      </w:r>
      <w:r w:rsidDel="00000000" w:rsidR="00000000" w:rsidRPr="00000000">
        <w:rPr>
          <w:rtl w:val="0"/>
        </w:rPr>
        <w:t xml:space="preserve"> Si la URL es maliciosa (phishing/sitio web comprometido/acortador/URL Maliciosa [contiene elementos de virus, C&amp;C, Malware]), el estado del caso se cambia a "Aceptado/En Proceso". </w:t>
      </w:r>
      <w:r w:rsidDel="00000000" w:rsidR="00000000" w:rsidRPr="00000000">
        <w:rPr>
          <w:b w:val="1"/>
          <w:bCs w:val="1"/>
          <w:rtl w:val="0"/>
        </w:rPr>
        <w:t xml:space="preserve">Contención Básica (si aplica):</w:t>
      </w:r>
      <w:r w:rsidDel="00000000" w:rsidR="00000000" w:rsidRPr="00000000">
        <w:rPr>
          <w:rtl w:val="0"/>
        </w:rPr>
        <w:t xml:space="preserve"> RFA-Contención (de acuerdo al caso presentado elegir entre las siguientes opciones): Bloquear al acceso entrante/saliente el firewall para el dominio / IP malicioso Restringir la política de navegación al dominio / IP mencionado En el caso de un usuario haya introducido sus credenciales de acceso, datos personales o de la empresa, cambiar credenciales de acceso a cuenta involucradas.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4. Criterios de Escalación a N2</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No aplicar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5. Fases de Respuesta y Remediación (Analista N2)</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5.1. Contención Inmediata</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La prioridad es limitar el impacto y prevenir la propagación.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Bloquear Indicadores de Compromiso (IOCs):</w:t>
      </w:r>
      <w:r w:rsidDel="00000000" w:rsidR="00000000" w:rsidRPr="00000000">
        <w:rPr>
          <w:rtl w:val="0"/>
        </w:rPr>
        <w:t xml:space="preserve"> Utilizar las integraciones de Stellar Cyber para bloquear la URL/dominio e IPs maliciosas en el firewall, proxy y filtros de DNS. IoC Sha256 MD5 URL direcciones IP Dominio </w:t>
      </w:r>
      <w:r w:rsidDel="00000000" w:rsidR="00000000" w:rsidRPr="00000000">
        <w:rPr>
          <w:b w:val="1"/>
          <w:bCs w:val="1"/>
          <w:rtl w:val="0"/>
        </w:rPr>
        <w:t xml:space="preserve">Bloqueo de Usuario:</w:t>
      </w:r>
      <w:r w:rsidDel="00000000" w:rsidR="00000000" w:rsidRPr="00000000">
        <w:rPr>
          <w:rtl w:val="0"/>
        </w:rPr>
        <w:t xml:space="preserve"> Confirmar si el N1 bloqueó la cuenta del usuario. Si no y hay sospecha de compromiso, proceder al bloqueo.</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5.2. Comunicación Inicial</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Notificar a las Partes Interesadas (Dependiendo de la severidad):</w:t>
      </w:r>
      <w:r w:rsidDel="00000000" w:rsidR="00000000" w:rsidRPr="00000000">
        <w:rPr>
          <w:rtl w:val="0"/>
        </w:rPr>
        <w:t xml:space="preserve"> Comunicar al contacto de emergencia del cliente, dueño del Activo y/o CISO sobre el incidente, su estado y posibles implicaciones (ej. credenciales comprometidas).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5.3. Investigación y Alcance</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Identificar Alcance Completo:</w:t>
      </w:r>
      <w:r w:rsidDel="00000000" w:rsidR="00000000" w:rsidRPr="00000000">
        <w:rPr>
          <w:rtl w:val="0"/>
        </w:rPr>
        <w:t xml:space="preserve"> Usar el Data Explorer de Stellar Cyber para buscar los IOCs (URL, dominio, IP) en todos los logs e identificar a otros usuarios o hosts que hayan interactuado con la amenaza. </w:t>
      </w:r>
      <w:r w:rsidDel="00000000" w:rsidR="00000000" w:rsidRPr="00000000">
        <w:rPr>
          <w:b w:val="1"/>
          <w:bCs w:val="1"/>
          <w:rtl w:val="0"/>
        </w:rPr>
        <w:t xml:space="preserve">Analizar el Endpoint:</w:t>
      </w:r>
      <w:r w:rsidDel="00000000" w:rsidR="00000000" w:rsidRPr="00000000">
        <w:rPr>
          <w:rtl w:val="0"/>
        </w:rPr>
        <w:t xml:space="preserve"> Revisar los procesos y la actividad de red del host afectado para buscar evidencia de malware o compromiso posterior al clic.</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5.4. Erradicación de la Amenaza</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Eliminar todos los artefactos del ataque del entorno.</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Buscar y Eliminar Correos Similares:</w:t>
      </w:r>
      <w:r w:rsidDel="00000000" w:rsidR="00000000" w:rsidRPr="00000000">
        <w:rPr>
          <w:rtl w:val="0"/>
        </w:rPr>
        <w:t xml:space="preserve"> Realizar una búsqueda en el servidor de correo para encontrar y eliminar otros correos de la misma campaña de phishing de los buzones de otros usuarios. </w:t>
      </w:r>
      <w:r w:rsidDel="00000000" w:rsidR="00000000" w:rsidRPr="00000000">
        <w:rPr>
          <w:b w:val="1"/>
          <w:bCs w:val="1"/>
          <w:rtl w:val="0"/>
        </w:rPr>
        <w:t xml:space="preserve">Forzar Cambio de Contraseña y Revocar Sesiones:</w:t>
      </w:r>
      <w:r w:rsidDel="00000000" w:rsidR="00000000" w:rsidRPr="00000000">
        <w:rPr>
          <w:rtl w:val="0"/>
        </w:rPr>
        <w:t xml:space="preserve"> Si se sospecha de compromiso de credenciales, forzar el cambio de contraseña del usuario afectado y revocar todas sus sesiones activas.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5.5. Recuperación y Verificación</w:t>
      </w:r>
      <w:r w:rsidDel="00000000" w:rsidR="00000000" w:rsidRPr="00000000">
        <w:rPr>
          <w:rtl w:val="0"/>
        </w:rPr>
        <w:t xml:space="preserve"> </w:t>
      </w:r>
      <w:r w:rsidDel="00000000" w:rsidR="00000000" w:rsidRPr="00000000">
        <w:rPr>
          <w:b w:val="1"/>
          <w:bCs w:val="1"/>
          <w:rtl w:val="0"/>
        </w:rPr>
        <w:t xml:space="preserve">Fase RC: Recuperación Coordinada (NIST RC.RP / RC.CO)</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numPr>
          <w:ilvl w:val="0"/>
          <w:numId w:val="1"/>
        </w:numPr>
        <w:ind w:left="720" w:hanging="360"/>
      </w:pPr>
      <w:r w:rsidDel="00000000" w:rsidR="00000000" w:rsidRPr="00000000">
        <w:rPr>
          <w:rtl w:val="0"/>
        </w:rPr>
        <w:t xml:space="preserve">SOC actúa como Coordinador de Recuperación.</w:t>
      </w:r>
    </w:p>
    <w:p w:rsidR="00000000" w:rsidDel="00000000" w:rsidP="00000000" w:rsidRDefault="00000000" w:rsidRPr="00000000" w14:paraId="0000003C">
      <w:pPr>
        <w:numPr>
          <w:ilvl w:val="0"/>
          <w:numId w:val="1"/>
        </w:numPr>
        <w:ind w:left="720" w:hanging="360"/>
      </w:pPr>
      <w:r w:rsidDel="00000000" w:rsidR="00000000" w:rsidRPr="00000000">
        <w:rPr>
          <w:rtl w:val="0"/>
        </w:rPr>
        <w:t xml:space="preserve">Validar integridad/limpieza del entorno ANTES de reconexión (RC.RP-03).</w:t>
      </w:r>
    </w:p>
    <w:p w:rsidR="00000000" w:rsidDel="00000000" w:rsidP="00000000" w:rsidRDefault="00000000" w:rsidRPr="00000000" w14:paraId="0000003D">
      <w:pPr>
        <w:numPr>
          <w:ilvl w:val="0"/>
          <w:numId w:val="1"/>
        </w:numPr>
        <w:ind w:left="720" w:hanging="360"/>
      </w:pPr>
      <w:r w:rsidDel="00000000" w:rsidR="00000000" w:rsidRPr="00000000">
        <w:rPr>
          <w:rtl w:val="0"/>
        </w:rPr>
        <w:t xml:space="preserve">Comunicar progreso de restauración a directivos del cliente (RC.CO-03).</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Devolver los sistemas a un estado operativo seguro.</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Restaurar Acceso del Usuario:</w:t>
      </w:r>
      <w:r w:rsidDel="00000000" w:rsidR="00000000" w:rsidRPr="00000000">
        <w:rPr>
          <w:rtl w:val="0"/>
        </w:rPr>
        <w:t xml:space="preserve"> Una vez que la contraseña ha sido cambiada y la amenaza contenida, reactivar la cuenta del usuario si fue bloqueada. </w:t>
      </w:r>
      <w:r w:rsidDel="00000000" w:rsidR="00000000" w:rsidRPr="00000000">
        <w:rPr>
          <w:b w:val="1"/>
          <w:bCs w:val="1"/>
          <w:rtl w:val="0"/>
        </w:rPr>
        <w:t xml:space="preserve">Reconectar el Host:</w:t>
      </w:r>
      <w:r w:rsidDel="00000000" w:rsidR="00000000" w:rsidRPr="00000000">
        <w:rPr>
          <w:rtl w:val="0"/>
        </w:rPr>
        <w:t xml:space="preserve"> Después de confirmar que el host está limpio, sacarlo del aislamiento y devolverlo a la red de producción. </w:t>
      </w:r>
      <w:r w:rsidDel="00000000" w:rsidR="00000000" w:rsidRPr="00000000">
        <w:rPr>
          <w:b w:val="1"/>
          <w:bCs w:val="1"/>
          <w:rtl w:val="0"/>
        </w:rPr>
        <w:t xml:space="preserve">Monitoreo Intensivo:</w:t>
      </w:r>
      <w:r w:rsidDel="00000000" w:rsidR="00000000" w:rsidRPr="00000000">
        <w:rPr>
          <w:rtl w:val="0"/>
        </w:rPr>
        <w:t xml:space="preserve"> Monitorear la cuenta del usuario y el host afectado durante 24-48 horas para detectar cualquier actividad anómala.</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Fase ID.IM: Mejora Continua (NIST ID.IM-03)</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numPr>
          <w:ilvl w:val="0"/>
          <w:numId w:val="1"/>
        </w:numPr>
        <w:ind w:left="720" w:hanging="360"/>
      </w:pPr>
      <w:r w:rsidDel="00000000" w:rsidR="00000000" w:rsidRPr="00000000">
        <w:rPr>
          <w:rtl w:val="0"/>
        </w:rPr>
        <w:t xml:space="preserve">Documentar Análisis de Causa Raíz (RCA).</w:t>
      </w:r>
    </w:p>
    <w:p w:rsidR="00000000" w:rsidDel="00000000" w:rsidP="00000000" w:rsidRDefault="00000000" w:rsidRPr="00000000" w14:paraId="00000046">
      <w:pPr>
        <w:numPr>
          <w:ilvl w:val="0"/>
          <w:numId w:val="1"/>
        </w:numPr>
        <w:ind w:left="720" w:hanging="360"/>
      </w:pPr>
      <w:r w:rsidDel="00000000" w:rsidR="00000000" w:rsidRPr="00000000">
        <w:rPr>
          <w:rtl w:val="0"/>
        </w:rPr>
        <w:t xml:space="preserve">Extraer TTPs e IoCs para actualizar reglas SIEM/EDR globales.</w:t>
      </w:r>
    </w:p>
    <w:p w:rsidR="00000000" w:rsidDel="00000000" w:rsidP="00000000" w:rsidRDefault="00000000" w:rsidRPr="00000000" w14:paraId="00000047">
      <w:pPr>
        <w:numPr>
          <w:ilvl w:val="0"/>
          <w:numId w:val="1"/>
        </w:numPr>
        <w:ind w:left="720" w:hanging="360"/>
      </w:pPr>
      <w:r w:rsidDel="00000000" w:rsidR="00000000" w:rsidRPr="00000000">
        <w:rPr>
          <w:rtl w:val="0"/>
        </w:rPr>
        <w:t xml:space="preserve">Modificar controles preventivos (PR) basándose en fallas identificadas.</w:t>
      </w:r>
    </w:p>
    <w:p w:rsidR="00000000" w:rsidDel="00000000" w:rsidP="00000000" w:rsidRDefault="00000000" w:rsidRPr="00000000" w14:paraId="00000048">
      <w:pPr>
        <w:numPr>
          <w:ilvl w:val="0"/>
          <w:numId w:val="1"/>
        </w:numPr>
        <w:ind w:left="720" w:hanging="360"/>
      </w:pPr>
      <w:r w:rsidDel="00000000" w:rsidR="00000000" w:rsidRPr="00000000">
        <w:rPr>
          <w:rtl w:val="0"/>
        </w:rPr>
        <w:t xml:space="preserve">Cerrar ciclo de riesgo completo.</w:t>
      </w:r>
    </w:p>
    <w:p w:rsidR="00000000" w:rsidDel="00000000" w:rsidP="00000000" w:rsidRDefault="00000000" w:rsidRPr="00000000" w14:paraId="00000049">
      <w:pPr>
        <w:numPr>
          <w:ilvl w:val="0"/>
          <w:numId w:val="1"/>
        </w:numPr>
        <w:ind w:left="720" w:hanging="360"/>
      </w:pPr>
      <w:r w:rsidDel="00000000" w:rsidR="00000000" w:rsidRPr="00000000">
        <w:rPr>
          <w:rtl w:val="0"/>
        </w:rPr>
        <w:t xml:space="preserve">PR.AT-02: Registrar automáticamente al usuario que interactuó con el phishing en una campaña especial de capacitación y concientización (awareness) anti-phishing.</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6. Cierre y Lecciones Aprendidas (Post-Incidente)</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Documentación Final del Incidente:</w:t>
      </w:r>
      <w:r w:rsidDel="00000000" w:rsidR="00000000" w:rsidRPr="00000000">
        <w:rPr>
          <w:rtl w:val="0"/>
        </w:rPr>
        <w:t xml:space="preserve"> Crear un reporte detallado con la línea de tiempo, impacto, causa raíz y todas las acciones tomadas. </w:t>
      </w:r>
      <w:r w:rsidDel="00000000" w:rsidR="00000000" w:rsidRPr="00000000">
        <w:rPr>
          <w:b w:val="1"/>
          <w:bCs w:val="1"/>
          <w:rtl w:val="0"/>
        </w:rPr>
        <w:t xml:space="preserve">Sesión de Lecciones Aprendidas:</w:t>
      </w:r>
      <w:r w:rsidDel="00000000" w:rsidR="00000000" w:rsidRPr="00000000">
        <w:rPr>
          <w:rtl w:val="0"/>
        </w:rPr>
        <w:t xml:space="preserve"> Organizar una reunión con los equipos implicados para discutir qué funcionó y qué se puede mejorar. </w:t>
      </w:r>
      <w:r w:rsidDel="00000000" w:rsidR="00000000" w:rsidRPr="00000000">
        <w:rPr>
          <w:b w:val="1"/>
          <w:bCs w:val="1"/>
          <w:rtl w:val="0"/>
        </w:rPr>
        <w:t xml:space="preserve">Creación de Acciones de Mejora:</w:t>
      </w:r>
      <w:r w:rsidDel="00000000" w:rsidR="00000000" w:rsidRPr="00000000">
        <w:rPr>
          <w:rtl w:val="0"/>
        </w:rPr>
        <w:t xml:space="preserve"> Definir tareas concretas para fortalecer las defensas. Ejemplos: "Afinar la regla del filtro de correo para bloquear correos con el asunto X". "Recomendar al cliente una campaña de concienciación sobre phishing". "Crear una regla de detección personalizada en Stellar Cyber para este tipo de ataque".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Cierre Formal del Ticket:</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Una vez documentado todo, cerrar el ticket del incidente.</w:t>
      </w:r>
    </w:p>
    <w:p w:rsidR="00000000" w:rsidDel="00000000" w:rsidP="00000000" w:rsidRDefault="00000000" w:rsidRPr="00000000" w14:paraId="00000052">
      <w:pPr>
        <w:pStyle w:val="Heading3"/>
        <w:rPr/>
      </w:pPr>
      <w:bookmarkStart w:colFirst="0" w:colLast="0" w:name="_huuf3y7773as" w:id="1"/>
      <w:bookmarkEnd w:id="1"/>
      <w:r w:rsidDel="00000000" w:rsidR="00000000" w:rsidRPr="00000000">
        <w:rPr>
          <w:rtl w:val="0"/>
        </w:rPr>
        <w:t xml:space="preserve">Comunicación para Playbook de URL Phishing</w:t>
      </w:r>
    </w:p>
    <w:p w:rsidR="00000000" w:rsidDel="00000000" w:rsidP="00000000" w:rsidRDefault="00000000" w:rsidRPr="00000000" w14:paraId="00000053">
      <w:pPr>
        <w:pStyle w:val="Heading3"/>
        <w:rPr/>
      </w:pPr>
      <w:bookmarkStart w:colFirst="0" w:colLast="0" w:name="_367ztw46qhxv" w:id="2"/>
      <w:bookmarkEnd w:id="2"/>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