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zrr1jh0cp70" w:id="0"/>
      <w:bookmarkEnd w:id="0"/>
      <w:r w:rsidDel="00000000" w:rsidR="00000000" w:rsidRPr="00000000">
        <w:rPr>
          <w:rtl w:val="0"/>
        </w:rPr>
        <w:t xml:space="preserve">5.3 - Compromiso de Terceros (Third-Party)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5.3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T1195 (Supply Chain Compromise)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Gestionar el riesgo derivado del compromiso de seguridad de un proveedor o socio (tercero) que tiene acceso a los datos o sistemas de la organización.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SOC Manager (Lidera), Nivel 2 (Investigación técnica).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oegwk4cii48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xgbw1826rto" w:id="2"/>
      <w:bookmarkEnd w:id="2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Recepción de la Notificación y Evaluación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Notificación oficial del proveedor sobre un incidente de seguridad, descubrimiento de credenciales de un tercero en la dark web, o detección de actividad sospechosa originada desde la red o cuentas de un proveedor. </w:t>
      </w:r>
      <w:r w:rsidDel="00000000" w:rsidR="00000000" w:rsidRPr="00000000">
        <w:rPr>
          <w:b w:val="1"/>
          <w:bCs w:val="1"/>
          <w:rtl w:val="0"/>
        </w:rPr>
        <w:t xml:space="preserve">Acción (SOC Manager):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Establecer Canal de Comunicación Seguro:</w:t>
      </w:r>
      <w:r w:rsidDel="00000000" w:rsidR="00000000" w:rsidRPr="00000000">
        <w:rPr>
          <w:rtl w:val="0"/>
        </w:rPr>
        <w:t xml:space="preserve"> Contactar al punto de contacto de seguridad del proveedor para establecer un canal de comunicación directo y seguro. </w:t>
      </w:r>
      <w:r w:rsidDel="00000000" w:rsidR="00000000" w:rsidRPr="00000000">
        <w:rPr>
          <w:b w:val="1"/>
          <w:bCs w:val="1"/>
          <w:rtl w:val="0"/>
        </w:rPr>
        <w:t xml:space="preserve">Solicitar Información Clave:</w:t>
      </w:r>
      <w:r w:rsidDel="00000000" w:rsidR="00000000" w:rsidRPr="00000000">
        <w:rPr>
          <w:rtl w:val="0"/>
        </w:rPr>
        <w:t xml:space="preserve"> ¿Cuál es la naturaleza del compromiso? ¿Los datos de nuestra empresa se han visto afectados? ¿Las cuentas/sistemas que se conectan a nuestra red han sido comprometidas? ¿Pueden proporcionar Indicadores de Compromiso (IOCs)?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</w:t>
      </w:r>
      <w:r w:rsidDel="00000000" w:rsidR="00000000" w:rsidRPr="00000000">
        <w:rPr>
          <w:b w:val="1"/>
          <w:bCs w:val="1"/>
          <w:rtl w:val="0"/>
        </w:rPr>
        <w:t xml:space="preserve">Prioridad CRÍTICA</w:t>
      </w:r>
      <w:r w:rsidDel="00000000" w:rsidR="00000000" w:rsidRPr="00000000">
        <w:rPr>
          <w:rtl w:val="0"/>
        </w:rPr>
        <w:t xml:space="preserve">. Asunto: [COMPROMISO DE TERCERO] - Proveedor [Nombre del Proveedor].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a4fse2or1ag" w:id="3"/>
      <w:bookmarkEnd w:id="3"/>
      <w:r w:rsidDel="00000000" w:rsidR="00000000" w:rsidRPr="00000000">
        <w:rPr>
          <w:rtl w:val="0"/>
        </w:rPr>
        <w:t xml:space="preserve">Fase 2: Contención y Mitigación del Riesgo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Evaluar y Ejecutar la Contención ("Red Button")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 y 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Análisis de Riesgo Inmediato:</w:t>
      </w:r>
      <w:r w:rsidDel="00000000" w:rsidR="00000000" w:rsidRPr="00000000">
        <w:rPr>
          <w:rtl w:val="0"/>
        </w:rPr>
        <w:t xml:space="preserve"> Basado en la información del proveedor y el tipo de acceso que tienen, evaluar el riesgo. ¿Tienen acceso a datos de clientes? ¿Acceso administrativo a sistemas críticos? </w:t>
      </w:r>
      <w:r w:rsidDel="00000000" w:rsidR="00000000" w:rsidRPr="00000000">
        <w:rPr>
          <w:b w:val="1"/>
          <w:bCs w:val="1"/>
          <w:rtl w:val="0"/>
        </w:rPr>
        <w:t xml:space="preserve">Decisión de Contención: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Monitoreo Elevado:</w:t>
      </w:r>
      <w:r w:rsidDel="00000000" w:rsidR="00000000" w:rsidRPr="00000000">
        <w:rPr>
          <w:rtl w:val="0"/>
        </w:rPr>
        <w:t xml:space="preserve"> Si el riesgo es bajo o el compromiso no afecta las conexiones con nosotros, elevar el nivel de monitoreo de todas sus cuentas y conexiones. </w:t>
      </w:r>
      <w:r w:rsidDel="00000000" w:rsidR="00000000" w:rsidRPr="00000000">
        <w:rPr>
          <w:b w:val="1"/>
          <w:bCs w:val="1"/>
          <w:rtl w:val="0"/>
        </w:rPr>
        <w:t xml:space="preserve">Suspensión Temporal de Acceso (Opción Preferida):</w:t>
      </w:r>
      <w:r w:rsidDel="00000000" w:rsidR="00000000" w:rsidRPr="00000000">
        <w:rPr>
          <w:rtl w:val="0"/>
        </w:rPr>
        <w:t xml:space="preserve"> Si el riesgo es significativo, suspender temporalmente todos los puntos de acceso del proveedor: Deshabilitar cuentas de VPN. Revocar claves de API. Deshabilitar cuentas de servicio en nuestros sistemas. Aplicar reglas de firewall para bloquear sus rangos de IP.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Búsqueda de Actividad Maliciosa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Buscar IOCs:</w:t>
      </w:r>
      <w:r w:rsidDel="00000000" w:rsidR="00000000" w:rsidRPr="00000000">
        <w:rPr>
          <w:rtl w:val="0"/>
        </w:rPr>
        <w:t xml:space="preserve"> Rastrear los IOCs proporcionados por el proveedor en todo nuestro entorno (SIEM, EDR). </w:t>
      </w:r>
      <w:r w:rsidDel="00000000" w:rsidR="00000000" w:rsidRPr="00000000">
        <w:rPr>
          <w:b w:val="1"/>
          <w:bCs w:val="1"/>
          <w:rtl w:val="0"/>
        </w:rPr>
        <w:t xml:space="preserve">Revisar Logs de Acceso:</w:t>
      </w:r>
      <w:r w:rsidDel="00000000" w:rsidR="00000000" w:rsidRPr="00000000">
        <w:rPr>
          <w:rtl w:val="0"/>
        </w:rPr>
        <w:t xml:space="preserve"> Auditar toda la actividad histórica de las cuentas y conexiones del proveedor, buscando cualquier anomalía que pueda indicar que su acceso comprometido fue usado para atacar nuestra red.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rgj4y5569pk" w:id="4"/>
      <w:bookmarkEnd w:id="4"/>
      <w:r w:rsidDel="00000000" w:rsidR="00000000" w:rsidRPr="00000000">
        <w:rPr>
          <w:rtl w:val="0"/>
        </w:rPr>
        <w:t xml:space="preserve">Fase 3: Recuperación y Re-habilitación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nna9kucm8mp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Validación y Restauración del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Solicitar Garantías:</w:t>
      </w:r>
      <w:r w:rsidDel="00000000" w:rsidR="00000000" w:rsidRPr="00000000">
        <w:rPr>
          <w:rtl w:val="0"/>
        </w:rPr>
        <w:t xml:space="preserve"> El acceso del proveedor no debe ser restaurado hasta que proporcionen un informe formal del incidente y evidencia creíble de que la brecha ha sido contenida, erradicada y que han mejorado sus controles de seguridad. </w:t>
      </w:r>
      <w:r w:rsidDel="00000000" w:rsidR="00000000" w:rsidRPr="00000000">
        <w:rPr>
          <w:b w:val="1"/>
          <w:bCs w:val="1"/>
          <w:rtl w:val="0"/>
        </w:rPr>
        <w:t xml:space="preserve">Re-habilitación Gradual:</w:t>
      </w:r>
      <w:r w:rsidDel="00000000" w:rsidR="00000000" w:rsidRPr="00000000">
        <w:rPr>
          <w:rtl w:val="0"/>
        </w:rPr>
        <w:t xml:space="preserve"> Una vez satisfechos con la respuesta del proveedor, restaurar el acceso de forma gradual y monitoreada. </w:t>
      </w:r>
      <w:r w:rsidDel="00000000" w:rsidR="00000000" w:rsidRPr="00000000">
        <w:rPr>
          <w:b w:val="1"/>
          <w:bCs w:val="1"/>
          <w:rtl w:val="0"/>
        </w:rPr>
        <w:t xml:space="preserve">Forzar Rotación de Credenciales:</w:t>
      </w:r>
      <w:r w:rsidDel="00000000" w:rsidR="00000000" w:rsidRPr="00000000">
        <w:rPr>
          <w:rtl w:val="0"/>
        </w:rPr>
        <w:t xml:space="preserve"> Exigir que todas las claves de API y contraseñas usadas para conectarse a nuestros sistemas sean rotadas antes de restaurar el servicio.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ia65iwoyoye" w:id="6"/>
      <w:bookmarkEnd w:id="6"/>
      <w:r w:rsidDel="00000000" w:rsidR="00000000" w:rsidRPr="00000000">
        <w:rPr>
          <w:rtl w:val="0"/>
        </w:rPr>
        <w:t xml:space="preserve">Fase ID.IM: Mejora Continua (NIST ID.IM-03)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GV.SC-08: Planificar y agendar simulacros de incidentes en conjunto con los proveedores de servicios críticos (terceros) al menos una vez al año para alinear protocolos de respuesta.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yg1vmfrvfwzx" w:id="7"/>
      <w:bookmarkEnd w:id="7"/>
      <w:r w:rsidDel="00000000" w:rsidR="00000000" w:rsidRPr="00000000">
        <w:rPr>
          <w:rtl w:val="0"/>
        </w:rPr>
        <w:t xml:space="preserve">Fase 4: Actividad Post-Incidente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Paso 5: Revisión del Contrato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(SOC Manager y Legal):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Revisión de la Relación:</w:t>
      </w:r>
      <w:r w:rsidDel="00000000" w:rsidR="00000000" w:rsidRPr="00000000">
        <w:rPr>
          <w:rtl w:val="0"/>
        </w:rPr>
        <w:t xml:space="preserve"> Evaluar si el proveedor sigue cumpliendo con los requisitos de seguridad contractuales. </w:t>
      </w:r>
      <w:r w:rsidDel="00000000" w:rsidR="00000000" w:rsidRPr="00000000">
        <w:rPr>
          <w:b w:val="1"/>
          <w:bCs w:val="1"/>
          <w:rtl w:val="0"/>
        </w:rPr>
        <w:t xml:space="preserve">Lecciones Aprendidas:</w:t>
      </w:r>
      <w:r w:rsidDel="00000000" w:rsidR="00000000" w:rsidRPr="00000000">
        <w:rPr>
          <w:rtl w:val="0"/>
        </w:rPr>
        <w:t xml:space="preserve"> ¿Necesitamos mejorar nuestro programa de gestión de riesgos de terceros? ¿Requerimos auditorías de seguridad más estrictas para nuestros proveedores críticos? </w:t>
      </w:r>
      <w:r w:rsidDel="00000000" w:rsidR="00000000" w:rsidRPr="00000000">
        <w:rPr>
          <w:b w:val="1"/>
          <w:bCs w:val="1"/>
          <w:rtl w:val="0"/>
        </w:rPr>
        <w:t xml:space="preserve">Cerrar Ticket:</w:t>
      </w:r>
      <w:r w:rsidDel="00000000" w:rsidR="00000000" w:rsidRPr="00000000">
        <w:rPr>
          <w:rtl w:val="0"/>
        </w:rPr>
        <w:t xml:space="preserve"> Documentar todo el proceso de comunicación, las acciones de contención y la resolución final.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mgoeqobng8yq" w:id="8"/>
      <w:bookmarkEnd w:id="8"/>
      <w:r w:rsidDel="00000000" w:rsidR="00000000" w:rsidRPr="00000000">
        <w:rPr>
          <w:rtl w:val="0"/>
        </w:rPr>
        <w:t xml:space="preserve">Playbook 5.4: Infracción de Marca Registrada (Trademark Infringement)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Responder al uso no autorizado de la marca de la empresa en activos digitales (dominios, perfiles de redes sociales) para proteger la reputación y prevenir el fraude.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2 (Investigación y takedown), Departamento Legal.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8e3nkhghp8sv" w:id="9"/>
      <w:bookmarkEnd w:id="9"/>
      <w:r w:rsidDel="00000000" w:rsidR="00000000" w:rsidRPr="00000000">
        <w:rPr>
          <w:rtl w:val="0"/>
        </w:rPr>
        <w:t xml:space="preserve">Fase 1: Detección y Análisis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Identificar y Documentar la Infracción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Alerta de una herramienta de monitoreo de marca, descubrimiento de un dominio similar al de la empresa (typosquatting), o un reporte sobre un perfil de red social no oficial usando el logo/nombre de la empresa. </w:t>
      </w: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Recolectar Evidencia Sólida: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 Dominios:</w:t>
      </w:r>
      <w:r w:rsidDel="00000000" w:rsidR="00000000" w:rsidRPr="00000000">
        <w:rPr>
          <w:rtl w:val="0"/>
        </w:rPr>
        <w:t xml:space="preserve"> Realizar un whois completo del dominio infractor. Tomar capturas de pantalla fechadas del sitio web si está activo. </w:t>
      </w:r>
      <w:r w:rsidDel="00000000" w:rsidR="00000000" w:rsidRPr="00000000">
        <w:rPr>
          <w:b w:val="1"/>
          <w:bCs w:val="1"/>
          <w:rtl w:val="0"/>
        </w:rPr>
        <w:t xml:space="preserve">Para Redes Sociales:</w:t>
      </w:r>
      <w:r w:rsidDel="00000000" w:rsidR="00000000" w:rsidRPr="00000000">
        <w:rPr>
          <w:rtl w:val="0"/>
        </w:rPr>
        <w:t xml:space="preserve"> Tomar capturas de pantalla del perfil, incluyendo el nombre de usuario, la biografía y ejemplos de publicaciones.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un ticket de </w:t>
      </w:r>
      <w:r w:rsidDel="00000000" w:rsidR="00000000" w:rsidRPr="00000000">
        <w:rPr>
          <w:b w:val="1"/>
          <w:bCs w:val="1"/>
          <w:rtl w:val="0"/>
        </w:rPr>
        <w:t xml:space="preserve">Prioridad MEDIA</w:t>
      </w:r>
      <w:r w:rsidDel="00000000" w:rsidR="00000000" w:rsidRPr="00000000">
        <w:rPr>
          <w:rtl w:val="0"/>
        </w:rPr>
        <w:t xml:space="preserve">. Asunto: [INFRACCIÓN DE MARCA] - Dominio/Perfil [Nombre].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mn6jnzpokrn8" w:id="10"/>
      <w:bookmarkEnd w:id="10"/>
      <w:r w:rsidDel="00000000" w:rsidR="00000000" w:rsidRPr="00000000">
        <w:rPr>
          <w:rtl w:val="0"/>
        </w:rPr>
        <w:t xml:space="preserve">Fase 2: Escalada y Erradicación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Escalar al Departamento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Preparar un Dossier:</w:t>
      </w:r>
      <w:r w:rsidDel="00000000" w:rsidR="00000000" w:rsidRPr="00000000">
        <w:rPr>
          <w:rtl w:val="0"/>
        </w:rPr>
        <w:t xml:space="preserve"> Compilar toda la evidencia recolectada en un informe claro y conciso. </w:t>
      </w:r>
      <w:r w:rsidDel="00000000" w:rsidR="00000000" w:rsidRPr="00000000">
        <w:rPr>
          <w:b w:val="1"/>
          <w:bCs w:val="1"/>
          <w:rtl w:val="0"/>
        </w:rPr>
        <w:t xml:space="preserve">Asignar/Notificar a Legal:</w:t>
      </w:r>
      <w:r w:rsidDel="00000000" w:rsidR="00000000" w:rsidRPr="00000000">
        <w:rPr>
          <w:rtl w:val="0"/>
        </w:rPr>
        <w:t xml:space="preserve"> Asignar el ticket al contacto del departamento Legal. Ellos determinarán la estrategia a seguir.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Ejecutar Acciones de Takedown (Bajo dirección 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El departamento Legal puede solicitar que el SOC ejecute las siguientes acciones técnicas: </w:t>
      </w:r>
      <w:r w:rsidDel="00000000" w:rsidR="00000000" w:rsidRPr="00000000">
        <w:rPr>
          <w:b w:val="1"/>
          <w:bCs w:val="1"/>
          <w:rtl w:val="0"/>
        </w:rPr>
        <w:t xml:space="preserve">Reporte a Plataformas de Redes Sociales:</w:t>
      </w:r>
      <w:r w:rsidDel="00000000" w:rsidR="00000000" w:rsidRPr="00000000">
        <w:rPr>
          <w:rtl w:val="0"/>
        </w:rPr>
        <w:t xml:space="preserve"> Utilizar los formularios de "Reporte de Infracción de Marca Registrada" de la plataforma (Facebook, Twitter, LinkedIn, etc.). </w:t>
      </w:r>
      <w:r w:rsidDel="00000000" w:rsidR="00000000" w:rsidRPr="00000000">
        <w:rPr>
          <w:b w:val="1"/>
          <w:bCs w:val="1"/>
          <w:rtl w:val="0"/>
        </w:rPr>
        <w:t xml:space="preserve">Carta de Cese y Desista (Cease and Desist):</w:t>
      </w:r>
      <w:r w:rsidDel="00000000" w:rsidR="00000000" w:rsidRPr="00000000">
        <w:rPr>
          <w:rtl w:val="0"/>
        </w:rPr>
        <w:t xml:space="preserve"> Legal puede redactar una carta para ser enviada al contacto administrativo del dominio. </w:t>
      </w:r>
      <w:r w:rsidDel="00000000" w:rsidR="00000000" w:rsidRPr="00000000">
        <w:rPr>
          <w:b w:val="1"/>
          <w:bCs w:val="1"/>
          <w:rtl w:val="0"/>
        </w:rPr>
        <w:t xml:space="preserve">Procedimiento UDRP (Uniform Domain-Name Dispute-Resolution Policy):</w:t>
      </w:r>
      <w:r w:rsidDel="00000000" w:rsidR="00000000" w:rsidRPr="00000000">
        <w:rPr>
          <w:rtl w:val="0"/>
        </w:rPr>
        <w:t xml:space="preserve"> Para casos claros de cybersquatting, Legal puede iniciar un proceso UDRP a través de la ICANN para recuperar el dominio. El SOC proveerá el soporte técnico y la evidencia necesaria.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r02xt3tv78i" w:id="11"/>
      <w:bookmarkEnd w:id="11"/>
      <w:r w:rsidDel="00000000" w:rsidR="00000000" w:rsidRPr="00000000">
        <w:rPr>
          <w:rtl w:val="0"/>
        </w:rPr>
        <w:t xml:space="preserve">Fase 3: Cierre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Monitoreo y Documentación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y Legal):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Seguimiento:</w:t>
      </w:r>
      <w:r w:rsidDel="00000000" w:rsidR="00000000" w:rsidRPr="00000000">
        <w:rPr>
          <w:rtl w:val="0"/>
        </w:rPr>
        <w:t xml:space="preserve"> Monitorear el estado del dominio/perfil hasta que sea dado de baja o transferido. </w:t>
      </w:r>
      <w:r w:rsidDel="00000000" w:rsidR="00000000" w:rsidRPr="00000000">
        <w:rPr>
          <w:b w:val="1"/>
          <w:bCs w:val="1"/>
          <w:rtl w:val="0"/>
        </w:rPr>
        <w:t xml:space="preserve">Documentar Resolución:</w:t>
      </w:r>
      <w:r w:rsidDel="00000000" w:rsidR="00000000" w:rsidRPr="00000000">
        <w:rPr>
          <w:rtl w:val="0"/>
        </w:rPr>
        <w:t xml:space="preserve"> Documentar el resultado final del proceso en el ticket. </w:t>
      </w:r>
      <w:r w:rsidDel="00000000" w:rsidR="00000000" w:rsidRPr="00000000">
        <w:rPr>
          <w:b w:val="1"/>
          <w:bCs w:val="1"/>
          <w:rtl w:val="0"/>
        </w:rPr>
        <w:t xml:space="preserve">Cerrar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