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x0bhyky4phk" w:id="0"/>
      <w:bookmarkEnd w:id="0"/>
      <w:r w:rsidDel="00000000" w:rsidR="00000000" w:rsidRPr="00000000">
        <w:rPr>
          <w:rtl w:val="0"/>
        </w:rPr>
        <w:t xml:space="preserve">5.6.1 - Detección y Respuesta a Movimiento Lateral</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5.6.1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P1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T1021 (Remote Services), T1570 (Lateral Tool Transfer)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Objetivo: Identificar, verificar y neutralizar el avance de un adversario que busca saltar entre activos (Este-Oeste). Este proceso cubre tanto la explotación técnica como el abuso de credenciales y protocolos legítimos (Living-off-the-Land).</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Este playbook tiene como fin gestionar incidentes de movimiento lateral, buscando: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Detectar y contener rápidamente a atacantes que se mueven dentro de la red. Evitar que el atacante acceda a activos críticos. Identificar el punto de compromiso inicial y el alcance total de la brecha. Erradicar completamente la presencia del atacante del entorno.</w:t>
      </w:r>
    </w:p>
    <w:p w:rsidR="00000000" w:rsidDel="00000000" w:rsidP="00000000" w:rsidRDefault="00000000" w:rsidRPr="00000000" w14:paraId="0000000D">
      <w:pPr>
        <w:pStyle w:val="Heading3"/>
        <w:rPr/>
      </w:pPr>
      <w:bookmarkStart w:colFirst="0" w:colLast="0" w:name="_mpnybwfedy3f" w:id="1"/>
      <w:bookmarkEnd w:id="1"/>
      <w:r w:rsidDel="00000000" w:rsidR="00000000" w:rsidRPr="00000000">
        <w:rPr>
          <w:rtl w:val="0"/>
        </w:rPr>
        <w:t xml:space="preserve">Analista Responsable: L1 (Triaje), L2 (Investigación y Respuesta)</w:t>
      </w:r>
    </w:p>
    <w:p w:rsidR="00000000" w:rsidDel="00000000" w:rsidP="00000000" w:rsidRDefault="00000000" w:rsidRPr="00000000" w14:paraId="0000000E">
      <w:pPr>
        <w:pStyle w:val="Heading3"/>
        <w:rPr/>
      </w:pPr>
      <w:bookmarkStart w:colFirst="0" w:colLast="0" w:name="_euvl2l9fqahj" w:id="2"/>
      <w:bookmarkEnd w:id="2"/>
      <w:r w:rsidDel="00000000" w:rsidR="00000000" w:rsidRPr="00000000">
        <w:rPr>
          <w:rtl w:val="0"/>
        </w:rPr>
        <w:t xml:space="preserve">Criticidad: Alta / Crítica</w:t>
      </w:r>
    </w:p>
    <w:p w:rsidR="00000000" w:rsidDel="00000000" w:rsidP="00000000" w:rsidRDefault="00000000" w:rsidRPr="00000000" w14:paraId="0000000F">
      <w:pPr>
        <w:rPr/>
      </w:pPr>
      <w:r w:rsidDel="00000000" w:rsidR="00000000" w:rsidRPr="00000000">
        <w:rPr>
          <w:b w:val="1"/>
          <w:bCs w:val="1"/>
          <w:rtl w:val="0"/>
        </w:rPr>
        <w:t xml:space="preserve">Fase GV/ID: Gobernanza e Identificación (Pre-Incidente)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Fase 1: Detección, Triaje y Análisis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Responsable: Analista Nivel 1 (L1)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1.1 Activadores (Triggers) de Alta Fidelidad</w:t>
      </w:r>
      <w:r w:rsidDel="00000000" w:rsidR="00000000" w:rsidRPr="00000000">
        <w:rPr>
          <w:rtl w:val="0"/>
        </w:rPr>
        <w:t xml:space="preserve"> Este playbook se activa ante alertas de alta confianza generadas en Stellar Cyber o el EDR integrado, específicamente: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playbook se activa ante alertas de </w:t>
      </w:r>
      <w:r w:rsidDel="00000000" w:rsidR="00000000" w:rsidRPr="00000000">
        <w:rPr>
          <w:b w:val="1"/>
          <w:bCs w:val="1"/>
          <w:rtl w:val="0"/>
        </w:rPr>
        <w:t xml:space="preserve">Stellar Cyber XDR</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Identidad:</w:t>
      </w:r>
      <w:r w:rsidDel="00000000" w:rsidR="00000000" w:rsidRPr="00000000">
        <w:rPr>
          <w:rtl w:val="0"/>
        </w:rPr>
        <w:t xml:space="preserve"> Suspicous Login, Abnormal Service Account Usage, Protected Storage Service Access </w:t>
      </w:r>
      <w:r w:rsidDel="00000000" w:rsidR="00000000" w:rsidRPr="00000000">
        <w:rPr>
          <w:b w:val="1"/>
          <w:bCs w:val="1"/>
          <w:rtl w:val="0"/>
        </w:rPr>
        <w:t xml:space="preserve">Red/Cloud:</w:t>
      </w:r>
      <w:r w:rsidDel="00000000" w:rsidR="00000000" w:rsidRPr="00000000">
        <w:rPr>
          <w:rtl w:val="0"/>
        </w:rPr>
        <w:t xml:space="preserve"> OCI Cross Tenancy Communication, Lateral Movement: Propagation, Remote Service Activity via SVCCTL Named Pipe, Internal IDS Signature Spike, Internal SMB Read Anomaly, RDP Session Hijacking, Internal SQL Anomaly, Internal SMB Write Anomaly, Private to Private IPS Signature Spike, Private to Private Exploit Anomaly </w:t>
      </w:r>
      <w:r w:rsidDel="00000000" w:rsidR="00000000" w:rsidRPr="00000000">
        <w:rPr>
          <w:b w:val="1"/>
          <w:bCs w:val="1"/>
          <w:rtl w:val="0"/>
        </w:rPr>
        <w:t xml:space="preserve">Endpoint:</w:t>
      </w:r>
      <w:r w:rsidDel="00000000" w:rsidR="00000000" w:rsidRPr="00000000">
        <w:rPr>
          <w:rtl w:val="0"/>
        </w:rPr>
        <w:t xml:space="preserve"> wmiprvse Wbemcomn DLL Hijack, PsExec execution, Pass-the-Hash detection, T1047 Wmiprvse Wbemcomn DLL Hijack, Impacket PsExec Execution, Internal RDP Suspicious Outbound, Sensitive Windows Network Share File or Folder Access, DCERPC SMB Spoolss Named Pipe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1.2 Triaje Inicial: Verificación de Legitimidad Antes de ejecutar contención, el analista debe confirmar: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¿Es actividad administrativa? Cruce con el calendario de cambios o tickets de soporte Perfil del Usuario: ¿La cuenta (ej. admin_sql) suele realizar estas conexiones o es una anomalía de comportamiento (UEBA)? Herramientas: ¿Se están usando herramientas corporativas (ej. SCCM) o herramientas de ataque (ej. Mimikatz, BloodHound)?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1.3 Análisis Técnico con Stellar Cyber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Abrir el Graph View en Stellar Cyber para visualizar el "Blast Radius". Identificar el Paciente Cero (host de origen).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Contexto de Identidad: Analizar el tipo de Logon (Event 4624).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Tipo 3: Acceso por red (SMB/Admin Shares). Tipo 10: RDP (Acceso interactivo remoto).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Línea de Tiempo: Reconstruir las acciones del atacante 2 horas antes y después de la alerta.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Acción (N1)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 analista de Nivel 1, se asigna el caso en el Stellar Cyber, y establece la prioridad en alta dentro del caso Revisar la alerta para comprender la secuencia: host de origen, host de destino, cuenta de usuario utilizada, protocolo (RDP, SMB, WMI) y proceso involucrado. Extraer los Indicadores de Compromiso iniciales: IPs de origen y destino, nombre de la cuenta, y hashes de procesos si los hubiera. Verificar los eventos con las TTP descritas anteriormente y recopilar eventos previos y posteriores al evento. Identificar activos afectados por el comportamiento malicioso de movimiento lateral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Fase 2: Contención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Paso 2: Contener el evento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Responsable: Analista Nivel 2 (L2)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Una vez validado que el evento, recopilar los datos, con ellos Ejecutar proceso de contención conectarse al equipo y terminar los procesos, conexiones maliciosas creadas por el evento, si no cuenta con los accesos al activo afectado, pasar al siguiente paso. Evaluar que la criticidad del activo, si se trata de una Workstation o activo que no presta un servicio crítico o de alta demanda, realizar la contención o respuesta desde las herramientas EDR, XDR, MDR disponibles. Aislar el host de la red Enviar el host a una red de remediación Si se trata de un activo como un servidor, que presta un servicio crítico, y no contenerse el evento porque causaría una interrupción del servicio crítico o el movimiento lateral se dirige hacia o desde un servidor crítico (controlador de dominio, servidor de bases de datos). o en caso de que se ha utilizado una cuenta de administrador o de servicio con privilegios elevados. El analista escala el caso al Analista de Nivel 2 y notifica al SOC Manager La severidad se eleva a Crítico (P1) si se cumple CUALQUIERA de las siguientes condiciones: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Fase3: Contención y Recuperación </w:t>
      </w:r>
      <w:r w:rsidDel="00000000" w:rsidR="00000000" w:rsidRPr="00000000">
        <w:rPr>
          <w:b w:val="1"/>
          <w:bCs w:val="1"/>
          <w:rtl w:val="0"/>
        </w:rPr>
        <w:t xml:space="preserve">Fase RC: Recuperación Coordinada (NIST RC.RP / RC.CO)</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Paso 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Responsables: L1, L2 y SOC Manager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Realizar una llamada o enviar una notificación de alta prioridad al contacto de emergencia y al equipo de TI del cliente. La prioridad es contener al atacante y evitar su expansión </w:t>
      </w:r>
      <w:r w:rsidDel="00000000" w:rsidR="00000000" w:rsidRPr="00000000">
        <w:rPr>
          <w:b w:val="1"/>
          <w:bCs w:val="1"/>
          <w:rtl w:val="0"/>
        </w:rPr>
        <w:t xml:space="preserve">Aislar Hosts Involucrados:</w:t>
      </w:r>
      <w:r w:rsidDel="00000000" w:rsidR="00000000" w:rsidRPr="00000000">
        <w:rPr>
          <w:rtl w:val="0"/>
        </w:rPr>
        <w:t xml:space="preserve"> Aislar de la red tanto el host de origen como el de destino para cortar la conexión activa del atacante. </w:t>
      </w:r>
      <w:r w:rsidDel="00000000" w:rsidR="00000000" w:rsidRPr="00000000">
        <w:rPr>
          <w:b w:val="1"/>
          <w:bCs w:val="1"/>
          <w:rtl w:val="0"/>
        </w:rPr>
        <w:t xml:space="preserve">Deshabilitar Cuenta Comprometida:</w:t>
      </w:r>
      <w:r w:rsidDel="00000000" w:rsidR="00000000" w:rsidRPr="00000000">
        <w:rPr>
          <w:rtl w:val="0"/>
        </w:rPr>
        <w:t xml:space="preserve"> Deshabilitar inmediatamente la cuenta de usuario utilizada para el movimiento lateral. </w:t>
      </w:r>
      <w:r w:rsidDel="00000000" w:rsidR="00000000" w:rsidRPr="00000000">
        <w:rPr>
          <w:b w:val="1"/>
          <w:bCs w:val="1"/>
          <w:rtl w:val="0"/>
        </w:rPr>
        <w:t xml:space="preserve">Bloquear Indicadores de Compromiso (IOCs):</w:t>
      </w:r>
      <w:r w:rsidDel="00000000" w:rsidR="00000000" w:rsidRPr="00000000">
        <w:rPr>
          <w:rtl w:val="0"/>
        </w:rPr>
        <w:t xml:space="preserve"> Si se identifican IPs o dominios de C2, bloquearlos en el firewall perimetral. </w:t>
      </w:r>
      <w:r w:rsidDel="00000000" w:rsidR="00000000" w:rsidRPr="00000000">
        <w:rPr>
          <w:b w:val="1"/>
          <w:bCs w:val="1"/>
          <w:rtl w:val="0"/>
        </w:rPr>
        <w:t xml:space="preserve">Comunicación Inicial:</w:t>
      </w:r>
      <w:r w:rsidDel="00000000" w:rsidR="00000000" w:rsidRPr="00000000">
        <w:rPr>
          <w:rtl w:val="0"/>
        </w:rPr>
        <w:t xml:space="preserve"> Este es un incidente Crítico (P1) o Alto (P2). Seguir la Matriz de Comunicación: realizar una llamada o enviar una notificación de alta prioridad al contacto de emergencia y al equipo de TI del cliente. </w:t>
      </w:r>
      <w:r w:rsidDel="00000000" w:rsidR="00000000" w:rsidRPr="00000000">
        <w:rPr>
          <w:b w:val="1"/>
          <w:bCs w:val="1"/>
          <w:rtl w:val="0"/>
        </w:rPr>
        <w:t xml:space="preserve">Identificar Paciente Cero:</w:t>
      </w:r>
      <w:r w:rsidDel="00000000" w:rsidR="00000000" w:rsidRPr="00000000">
        <w:rPr>
          <w:rtl w:val="0"/>
        </w:rPr>
        <w:t xml:space="preserve"> Analizar el host de origen para determinar cómo fue comprometido inicialmente (phishing, vulnerabilidad, etc.). </w:t>
      </w:r>
      <w:r w:rsidDel="00000000" w:rsidR="00000000" w:rsidRPr="00000000">
        <w:rPr>
          <w:b w:val="1"/>
          <w:bCs w:val="1"/>
          <w:rtl w:val="0"/>
        </w:rPr>
        <w:t xml:space="preserve">Mapear el Avance del Atacante:</w:t>
      </w:r>
      <w:r w:rsidDel="00000000" w:rsidR="00000000" w:rsidRPr="00000000">
        <w:rPr>
          <w:rtl w:val="0"/>
        </w:rPr>
        <w:t xml:space="preserve"> Utilizar el EDR y los logs centralizados para buscar los IoCs y las tácticas del atacante en toda la red, creando un mapa de todos los sistemas y cuentas accedidos.</w:t>
      </w:r>
    </w:p>
    <w:p w:rsidR="00000000" w:rsidDel="00000000" w:rsidP="00000000" w:rsidRDefault="00000000" w:rsidRPr="00000000" w14:paraId="00000045">
      <w:pPr>
        <w:pStyle w:val="Heading2"/>
        <w:rPr/>
      </w:pPr>
      <w:bookmarkStart w:colFirst="0" w:colLast="0" w:name="_pjmjl4zff4mc" w:id="3"/>
      <w:bookmarkEnd w:id="3"/>
      <w:r w:rsidDel="00000000" w:rsidR="00000000" w:rsidRPr="00000000">
        <w:rPr>
          <w:rtl w:val="0"/>
        </w:rPr>
        <w:t xml:space="preserve">Fase ID.IM: Mejora Continua (NIST ID.IM-03)</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ID.IM-03: Realizar un Análisis de Causa Raíz (RCA) estricto detallando la vulnerabilidad explotada u omisión de control que permitió el avance del atacante hasta la fase avanzada de la intrusión.</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PR: Retroalimentar las firmas preventivas en firewalls, EDR e IPS.</w:t>
      </w:r>
    </w:p>
    <w:p w:rsidR="00000000" w:rsidDel="00000000" w:rsidP="00000000" w:rsidRDefault="00000000" w:rsidRPr="00000000" w14:paraId="0000004C">
      <w:pPr>
        <w:pStyle w:val="Heading2"/>
        <w:rPr/>
      </w:pPr>
      <w:bookmarkStart w:colFirst="0" w:colLast="0" w:name="_v7c6azufwvmx" w:id="4"/>
      <w:bookmarkEnd w:id="4"/>
      <w:r w:rsidDel="00000000" w:rsidR="00000000" w:rsidRPr="00000000">
        <w:rPr>
          <w:rtl w:val="0"/>
        </w:rPr>
        <w:t xml:space="preserve">Fase 4: Erradicación y Recuperación</w:t>
      </w:r>
    </w:p>
    <w:p w:rsidR="00000000" w:rsidDel="00000000" w:rsidP="00000000" w:rsidRDefault="00000000" w:rsidRPr="00000000" w14:paraId="0000004D">
      <w:pPr>
        <w:rPr/>
      </w:pPr>
      <w:r w:rsidDel="00000000" w:rsidR="00000000" w:rsidRPr="00000000">
        <w:rPr>
          <w:b w:val="1"/>
          <w:bCs w:val="1"/>
          <w:rtl w:val="0"/>
        </w:rPr>
        <w:t xml:space="preserve">Responsables: Analista Nivel 2 (L2) y Nivel 3 (L3)</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Limpieza Técnica (L2):</w:t>
      </w:r>
      <w:r w:rsidDel="00000000" w:rsidR="00000000" w:rsidRPr="00000000">
        <w:rPr>
          <w:rtl w:val="0"/>
        </w:rPr>
        <w:t xml:space="preserve"> Eliminación de archivos maliciosos, scripts y persistencias detectadas en la Fase 2. </w:t>
      </w:r>
      <w:r w:rsidDel="00000000" w:rsidR="00000000" w:rsidRPr="00000000">
        <w:rPr>
          <w:b w:val="1"/>
          <w:bCs w:val="1"/>
          <w:rtl w:val="0"/>
        </w:rPr>
        <w:t xml:space="preserve">Cacería de Amenazas Post-Incidente (L3):</w:t>
      </w:r>
      <w:r w:rsidDel="00000000" w:rsidR="00000000" w:rsidRPr="00000000">
        <w:rPr>
          <w:rtl w:val="0"/>
        </w:rPr>
        <w:t xml:space="preserve"> El L3 realiza una búsqueda proactiva (Threat Hunting) de "beacons" o señales de persistencia que el atacante pudo haber dejado "dormidas" en otros segmentos de la red para re-entrar después. </w:t>
      </w:r>
      <w:r w:rsidDel="00000000" w:rsidR="00000000" w:rsidRPr="00000000">
        <w:rPr>
          <w:b w:val="1"/>
          <w:bCs w:val="1"/>
          <w:rtl w:val="0"/>
        </w:rPr>
        <w:t xml:space="preserve">Restauración de Servicio (L2):</w:t>
      </w:r>
      <w:r w:rsidDel="00000000" w:rsidR="00000000" w:rsidRPr="00000000">
        <w:rPr>
          <w:rtl w:val="0"/>
        </w:rPr>
        <w:t xml:space="preserve"> Reintegro gradual de los activos a la red tras validar que la telemetría es limpia. Si hubo movimiento lateral mediante Pass-the-Hash o robo de tokens, borrar el malware no sirve de nada si no se resetean las contraseñas/tokens. El atacante volverá a entrar por la puerta principal. Obligar al cambio de contraseña de todas las cuentas que iniciaron sesión en los hosts afectados durante la ventana de compromiso (Prevenir persistencia por robo de credenciales).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