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zkjl6hg6cis" w:id="0"/>
      <w:bookmarkEnd w:id="0"/>
      <w:r w:rsidDel="00000000" w:rsidR="00000000" w:rsidRPr="00000000">
        <w:rPr>
          <w:rtl w:val="0"/>
        </w:rPr>
        <w:t xml:space="preserve">6.4 - Brecha Cobertura de Endpoint</w:t>
      </w:r>
    </w:p>
    <w:p w:rsidR="00000000" w:rsidDel="00000000" w:rsidP="00000000" w:rsidRDefault="00000000" w:rsidRPr="00000000" w14:paraId="00000002">
      <w:pPr>
        <w:rPr/>
      </w:pPr>
      <w:r w:rsidDel="00000000" w:rsidR="00000000" w:rsidRPr="00000000">
        <w:rPr>
          <w:rtl w:val="0"/>
        </w:rPr>
        <w:t xml:space="preserve">P3 Publicado Ivan Centurion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T1562.001 (Impair Defenses: Disable or Modify Tools)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Identificar y remediar activos conectados a la red corporativa que carecen de la solución de seguridad Endpoint (MDR/XDR) instalada, cerrando brechas de seguridad y asegurando el cumplimiento de la política de protección del 100% de los activos.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Nivel 1 (Detección y Correlación), Nivel 2 / Soporte IT (Instalación y Remediación).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Media (Riesgo de infección, pero no es una interrupción del servicio).</w:t>
      </w:r>
    </w:p>
    <w:p w:rsidR="00000000" w:rsidDel="00000000" w:rsidP="00000000" w:rsidRDefault="00000000" w:rsidRPr="00000000" w14:paraId="0000000B">
      <w:pPr>
        <w:pStyle w:val="Heading3"/>
        <w:rPr/>
      </w:pPr>
      <w:bookmarkStart w:colFirst="0" w:colLast="0" w:name="_kjjx6yblmmip" w:id="1"/>
      <w:bookmarkEnd w:id="1"/>
      <w:r w:rsidDel="00000000" w:rsidR="00000000" w:rsidRPr="00000000">
        <w:rPr>
          <w:rtl w:val="0"/>
        </w:rPr>
        <w:t xml:space="preserve">Fase GV/ID: Gobernanza e Identificación (Pre-Incidente)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0">
      <w:pPr>
        <w:pStyle w:val="Heading3"/>
        <w:rPr/>
      </w:pPr>
      <w:bookmarkStart w:colFirst="0" w:colLast="0" w:name="_a9dyrc4uncxq" w:id="2"/>
      <w:bookmarkEnd w:id="2"/>
      <w:r w:rsidDel="00000000" w:rsidR="00000000" w:rsidRPr="00000000">
        <w:rPr>
          <w:rtl w:val="0"/>
        </w:rPr>
        <w:t xml:space="preserve">Fase 1: Detección y Análisis</w:t>
      </w:r>
    </w:p>
    <w:p w:rsidR="00000000" w:rsidDel="00000000" w:rsidP="00000000" w:rsidRDefault="00000000" w:rsidRPr="00000000" w14:paraId="00000011">
      <w:pPr>
        <w:rPr/>
      </w:pPr>
      <w:r w:rsidDel="00000000" w:rsidR="00000000" w:rsidRPr="00000000">
        <w:rPr>
          <w:rtl w:val="0"/>
        </w:rPr>
        <w:t xml:space="preserve">Detección de una dirección IP a través del sensor de red (Network Sensor) que no tiene un UUID/licencia de solución de protección asignada. Registros de autenticación (AD/Azure AD) desde un Hostname que no figura en la lista de Endpoints de la solución de protección. Revisión manual o automatizada de inventario donde se visualiza una IP/Hostname activa en la red (visto por el sensor de red) que no reporta estado en la consola MDR.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Filtrar la IP o Hostname detectado en Stellar Cyber. Si hay tráfico de aplicaciones empresariales (Office 365, ERP, SAP), es un activo corporativo sin agente. : Confirmar si el agente está instalado pero no comunica, o si simplemente no existe en la base de datos de la solución de protección. Priorización: ALTA: Servidores o activos en segmentos críticos (DMZ, Datos). MEDIA: Estaciones de trabajo de usuarios. . El equipo es vulnerable a malware/ransomware y carece de capacidad de respuesta remota. Creando riesgo de propagación de infección Abrir ticket de incidente de Prioridad MEDIA. [BRECHA COBERTURA MDR] - Endpoint Desprotegido Detectado [IP/Hostname]. Notificar al equipo de Soporte Técnico o Administrador de TI del cliente para la gestión del dispositivo.</w:t>
      </w:r>
    </w:p>
    <w:p w:rsidR="00000000" w:rsidDel="00000000" w:rsidP="00000000" w:rsidRDefault="00000000" w:rsidRPr="00000000" w14:paraId="00000014">
      <w:pPr>
        <w:pStyle w:val="Heading3"/>
        <w:rPr/>
      </w:pPr>
      <w:bookmarkStart w:colFirst="0" w:colLast="0" w:name="_zgcrhnfi2mkx" w:id="3"/>
      <w:bookmarkEnd w:id="3"/>
      <w:r w:rsidDel="00000000" w:rsidR="00000000" w:rsidRPr="00000000">
        <w:rPr>
          <w:rtl w:val="0"/>
        </w:rPr>
        <w:t xml:space="preserve">Fase 2: Contención</w:t>
      </w:r>
    </w:p>
    <w:p w:rsidR="00000000" w:rsidDel="00000000" w:rsidP="00000000" w:rsidRDefault="00000000" w:rsidRPr="00000000" w14:paraId="00000015">
      <w:pPr>
        <w:rPr/>
      </w:pPr>
      <w:r w:rsidDel="00000000" w:rsidR="00000000" w:rsidRPr="00000000">
        <w:rPr>
          <w:rtl w:val="0"/>
        </w:rPr>
        <w:t xml:space="preserve">Usar logs de DHCP o herramientas de inventario para identificar en que puerto de la red se encuentra conectado el activo (Laptop corporativa, Servidor, IoT, o dispositivo personal/BYOD). Desactivar el puerto de conexión del activo desprotegido de la red.</w:t>
      </w:r>
    </w:p>
    <w:p w:rsidR="00000000" w:rsidDel="00000000" w:rsidP="00000000" w:rsidRDefault="00000000" w:rsidRPr="00000000" w14:paraId="00000016">
      <w:pPr>
        <w:pStyle w:val="Heading3"/>
        <w:rPr/>
      </w:pPr>
      <w:bookmarkStart w:colFirst="0" w:colLast="0" w:name="_1epuq1ky6r4n" w:id="4"/>
      <w:bookmarkEnd w:id="4"/>
      <w:r w:rsidDel="00000000" w:rsidR="00000000" w:rsidRPr="00000000">
        <w:rPr>
          <w:rtl w:val="0"/>
        </w:rPr>
        <w:t xml:space="preserve">Fase 3: Erradicación y Recuperación</w:t>
      </w:r>
    </w:p>
    <w:p w:rsidR="00000000" w:rsidDel="00000000" w:rsidP="00000000" w:rsidRDefault="00000000" w:rsidRPr="00000000" w14:paraId="00000017">
      <w:pPr>
        <w:pStyle w:val="Heading3"/>
        <w:rPr/>
      </w:pPr>
      <w:bookmarkStart w:colFirst="0" w:colLast="0" w:name="_wdatjepy0gvj" w:id="5"/>
      <w:bookmarkEnd w:id="5"/>
      <w:r w:rsidDel="00000000" w:rsidR="00000000" w:rsidRPr="00000000">
        <w:rPr>
          <w:rtl w:val="0"/>
        </w:rPr>
        <w:t xml:space="preserve">Fase RC: Recuperación Coordinada (NIST RC.RP / RC.CO)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 el equipo está en dominio: Forzar instalación vía GPO o herramienta RMM (Remote Monitoring and Management). Si es manual: Derivar con el soporte técnico, contactar al usuario final para realizar la instalación manual del agente MDR. Verificar en la consola del MDR que el equipo ahora aparece como "Online/Protegido" y que las políticas de seguridad se han aplicado correctamente. Ejecutar un escaneo completo (Full Scan) inmediato para asegurar que el equipo no estaba comprometido previamente.</w:t>
      </w:r>
    </w:p>
    <w:p w:rsidR="00000000" w:rsidDel="00000000" w:rsidP="00000000" w:rsidRDefault="00000000" w:rsidRPr="00000000" w14:paraId="0000001D">
      <w:pPr>
        <w:pStyle w:val="Heading3"/>
        <w:rPr/>
      </w:pPr>
      <w:bookmarkStart w:colFirst="0" w:colLast="0" w:name="_z343t6gmfaue" w:id="6"/>
      <w:bookmarkEnd w:id="6"/>
      <w:r w:rsidDel="00000000" w:rsidR="00000000" w:rsidRPr="00000000">
        <w:rPr>
          <w:rtl w:val="0"/>
        </w:rPr>
        <w:t xml:space="preserve">Fase ID.IM: Mejora Continua (NIST ID.IM-03)</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PR.IR-04: Establecer alertas predictivas de cobertura cruzando datos de red (logs DHCP, AD) para identificar nuevos activos desprotegidos.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Monitoreo preventivo de la capacidad de recursos.</w:t>
      </w:r>
    </w:p>
    <w:p w:rsidR="00000000" w:rsidDel="00000000" w:rsidP="00000000" w:rsidRDefault="00000000" w:rsidRPr="00000000" w14:paraId="00000024">
      <w:pPr>
        <w:pStyle w:val="Heading3"/>
        <w:rPr/>
      </w:pPr>
      <w:bookmarkStart w:colFirst="0" w:colLast="0" w:name="_1ntbhdykq4gg" w:id="7"/>
      <w:bookmarkEnd w:id="7"/>
      <w:r w:rsidDel="00000000" w:rsidR="00000000" w:rsidRPr="00000000">
        <w:rPr>
          <w:rtl w:val="0"/>
        </w:rPr>
        <w:t xml:space="preserve">Fase 4: Actividad Post-Incidente</w:t>
      </w:r>
    </w:p>
    <w:p w:rsidR="00000000" w:rsidDel="00000000" w:rsidP="00000000" w:rsidRDefault="00000000" w:rsidRPr="00000000" w14:paraId="00000025">
      <w:pPr>
        <w:rPr/>
      </w:pPr>
      <w:r w:rsidDel="00000000" w:rsidR="00000000" w:rsidRPr="00000000">
        <w:rPr>
          <w:rtl w:val="0"/>
        </w:rPr>
        <w:t xml:space="preserve">Determinar por qué el equipo no tenía agente (¿Fallo en la imagen del SO? ¿Usuario con permisos de admin lo desinstaló? ¿Shadow IT?). Asegurar que el activo esté etiquetado correctamente en la plataforma de monitoreo.</w:t>
      </w:r>
    </w:p>
    <w:p w:rsidR="00000000" w:rsidDel="00000000" w:rsidP="00000000" w:rsidRDefault="00000000" w:rsidRPr="00000000" w14:paraId="00000026">
      <w:pPr>
        <w:pStyle w:val="Heading3"/>
        <w:rPr/>
      </w:pPr>
      <w:bookmarkStart w:colFirst="0" w:colLast="0" w:name="_atlhf97q4j2u" w:id="8"/>
      <w:bookmarkEnd w:id="8"/>
      <w:r w:rsidDel="00000000" w:rsidR="00000000" w:rsidRPr="00000000">
        <w:rPr>
          <w:rtl w:val="0"/>
        </w:rPr>
        <w:t xml:space="preserve">Plantilla de Ticket (Ejemplo)</w:t>
      </w:r>
    </w:p>
    <w:p w:rsidR="00000000" w:rsidDel="00000000" w:rsidP="00000000" w:rsidRDefault="00000000" w:rsidRPr="00000000" w14:paraId="00000027">
      <w:pPr>
        <w:rPr/>
      </w:pPr>
      <w:r w:rsidDel="00000000" w:rsidR="00000000" w:rsidRPr="00000000">
        <w:rPr>
          <w:rtl w:val="0"/>
        </w:rPr>
        <w:t xml:space="preserve">Log de Stellar Cyber mostrando el activo "Online" y generando tráfico. Captura de la consola MDR (ej. Sophos) mostrando resultados "0" al buscar dicha IP/Host. | | Solicitud de Acción | • Identificar físicamente el dispositivo. • Proceder a la instalación inmediata del agente MDR/XDR. • Confirmar sincronización con la consola de seguridad. |</w:t>
      </w:r>
    </w:p>
    <w:p w:rsidR="00000000" w:rsidDel="00000000" w:rsidP="00000000" w:rsidRDefault="00000000" w:rsidRPr="00000000" w14:paraId="00000028">
      <w:pPr>
        <w:pStyle w:val="Heading2"/>
        <w:rPr/>
      </w:pPr>
      <w:bookmarkStart w:colFirst="0" w:colLast="0" w:name="_pjzbi9v7450w" w:id="9"/>
      <w:bookmarkEnd w:id="9"/>
      <w:r w:rsidDel="00000000" w:rsidR="00000000" w:rsidRPr="00000000">
        <w:rPr>
          <w:rtl w:val="0"/>
        </w:rPr>
        <w:t xml:space="preserve">KPIs</w:t>
      </w:r>
    </w:p>
    <w:p w:rsidR="00000000" w:rsidDel="00000000" w:rsidP="00000000" w:rsidRDefault="00000000" w:rsidRPr="00000000" w14:paraId="00000029">
      <w:pPr>
        <w:rPr/>
      </w:pPr>
      <w:r w:rsidDel="00000000" w:rsidR="00000000" w:rsidRPr="00000000">
        <w:rPr>
          <w:rtl w:val="0"/>
        </w:rPr>
        <w:t xml:space="preserve">Este playbook mide su eficacia en visibilidad mediante estos 3 indicadores: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MTTR-C (Mean Time to Remediation - Coverage):</w:t>
      </w:r>
      <w:r w:rsidDel="00000000" w:rsidR="00000000" w:rsidRPr="00000000">
        <w:rPr>
          <w:rtl w:val="0"/>
        </w:rPr>
        <w:t xml:space="preserve"> Tiempo promedio desde que se detecta un activo desprotegido hasta que el agente está funcional y reportando. Objetivo: </w:t>
      </w:r>
      <w:r w:rsidDel="00000000" w:rsidR="00000000" w:rsidRPr="00000000">
        <w:rPr>
          <w:b w:val="1"/>
          <w:bCs w:val="1"/>
          <w:rtl w:val="0"/>
        </w:rPr>
        <w:t xml:space="preserve">&lt; 4 horas</w:t>
      </w:r>
      <w:r w:rsidDel="00000000" w:rsidR="00000000" w:rsidRPr="00000000">
        <w:rPr>
          <w:rtl w:val="0"/>
        </w:rPr>
        <w:t xml:space="preserve"> </w:t>
      </w:r>
      <w:r w:rsidDel="00000000" w:rsidR="00000000" w:rsidRPr="00000000">
        <w:rPr>
          <w:b w:val="1"/>
          <w:bCs w:val="1"/>
          <w:rtl w:val="0"/>
        </w:rPr>
        <w:t xml:space="preserve">Tasa de Dispositivos No Autorizados:</w:t>
      </w:r>
      <w:r w:rsidDel="00000000" w:rsidR="00000000" w:rsidRPr="00000000">
        <w:rPr>
          <w:rtl w:val="0"/>
        </w:rPr>
        <w:t xml:space="preserve"> Porcentaje de detecciones que resultan ser dispositivos ajenos a la organización (Shadow IT). Ayuda a justificar políticas de control de acceso a red (NAC)</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