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F6B" w:rsidRPr="00FF0D03" w:rsidRDefault="00A44F6B" w:rsidP="00A44F6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0D03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Новосибирской области</w:t>
      </w:r>
      <w:r w:rsidRPr="00FF0D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ГБПОУ НСО «Новосибирский авиационный технический колледж имени Б.С. </w:t>
      </w:r>
      <w:proofErr w:type="spellStart"/>
      <w:r w:rsidRPr="00FF0D03">
        <w:rPr>
          <w:rFonts w:ascii="Times New Roman" w:hAnsi="Times New Roman" w:cs="Times New Roman"/>
          <w:color w:val="000000" w:themeColor="text1"/>
          <w:sz w:val="24"/>
          <w:szCs w:val="24"/>
        </w:rPr>
        <w:t>Галущака</w:t>
      </w:r>
      <w:proofErr w:type="spellEnd"/>
      <w:r w:rsidRPr="00FF0D03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</w:p>
    <w:p w:rsidR="00A44F6B" w:rsidRPr="00FF0D03" w:rsidRDefault="00A44F6B" w:rsidP="00A44F6B">
      <w:pPr>
        <w:pStyle w:val="a3"/>
        <w:spacing w:line="360" w:lineRule="auto"/>
        <w:jc w:val="center"/>
        <w:rPr>
          <w:rFonts w:ascii="Times New Roman" w:hAnsi="Times New Roman" w:cs="Times New Roman"/>
          <w:color w:val="000000" w:themeColor="text1"/>
          <w:szCs w:val="28"/>
        </w:rPr>
      </w:pPr>
    </w:p>
    <w:p w:rsidR="00A44F6B" w:rsidRPr="00FF0D03" w:rsidRDefault="00A44F6B" w:rsidP="00A44F6B">
      <w:pPr>
        <w:jc w:val="center"/>
        <w:rPr>
          <w:rFonts w:ascii="Times New Roman" w:hAnsi="Times New Roman" w:cs="Times New Roman"/>
          <w:b/>
          <w:color w:val="000000" w:themeColor="text1"/>
          <w:szCs w:val="28"/>
        </w:rPr>
      </w:pPr>
    </w:p>
    <w:p w:rsidR="00A44F6B" w:rsidRPr="00FF0D03" w:rsidRDefault="00A44F6B" w:rsidP="00A44F6B">
      <w:pPr>
        <w:jc w:val="center"/>
        <w:rPr>
          <w:rFonts w:ascii="Times New Roman" w:hAnsi="Times New Roman" w:cs="Times New Roman"/>
          <w:color w:val="000000" w:themeColor="text1"/>
          <w:szCs w:val="28"/>
        </w:rPr>
      </w:pPr>
    </w:p>
    <w:p w:rsidR="00A44F6B" w:rsidRPr="00FF0D03" w:rsidRDefault="00A44F6B" w:rsidP="00A44F6B">
      <w:pPr>
        <w:jc w:val="center"/>
        <w:rPr>
          <w:rFonts w:ascii="Times New Roman" w:hAnsi="Times New Roman" w:cs="Times New Roman"/>
          <w:color w:val="000000" w:themeColor="text1"/>
          <w:szCs w:val="28"/>
        </w:rPr>
      </w:pPr>
    </w:p>
    <w:p w:rsidR="00A44F6B" w:rsidRPr="00FF0D03" w:rsidRDefault="00A44F6B" w:rsidP="00A44F6B">
      <w:pPr>
        <w:jc w:val="center"/>
        <w:rPr>
          <w:rFonts w:ascii="Times New Roman" w:hAnsi="Times New Roman" w:cs="Times New Roman"/>
          <w:color w:val="000000" w:themeColor="text1"/>
          <w:szCs w:val="28"/>
        </w:rPr>
      </w:pPr>
    </w:p>
    <w:p w:rsidR="00A44F6B" w:rsidRDefault="00A44F6B" w:rsidP="00A44F6B">
      <w:pPr>
        <w:rPr>
          <w:rFonts w:ascii="Times New Roman" w:hAnsi="Times New Roman" w:cs="Times New Roman"/>
          <w:color w:val="000000" w:themeColor="text1"/>
          <w:szCs w:val="28"/>
        </w:rPr>
      </w:pPr>
    </w:p>
    <w:p w:rsidR="00A44F6B" w:rsidRPr="00FF0D03" w:rsidRDefault="00A44F6B" w:rsidP="00A44F6B">
      <w:pPr>
        <w:jc w:val="center"/>
        <w:rPr>
          <w:rFonts w:ascii="Times New Roman" w:hAnsi="Times New Roman" w:cs="Times New Roman"/>
          <w:color w:val="000000" w:themeColor="text1"/>
          <w:szCs w:val="28"/>
        </w:rPr>
      </w:pPr>
    </w:p>
    <w:p w:rsidR="00A44F6B" w:rsidRDefault="00A44F6B" w:rsidP="00A44F6B">
      <w:pPr>
        <w:jc w:val="center"/>
        <w:rPr>
          <w:rFonts w:ascii="Times New Roman" w:hAnsi="Times New Roman" w:cs="Times New Roman"/>
          <w:color w:val="000000" w:themeColor="text1"/>
          <w:szCs w:val="28"/>
        </w:rPr>
      </w:pPr>
    </w:p>
    <w:p w:rsidR="00A44F6B" w:rsidRPr="00FF0D03" w:rsidRDefault="00A44F6B" w:rsidP="00A44F6B">
      <w:pPr>
        <w:jc w:val="center"/>
        <w:rPr>
          <w:rFonts w:ascii="Times New Roman" w:hAnsi="Times New Roman" w:cs="Times New Roman"/>
          <w:color w:val="000000" w:themeColor="text1"/>
          <w:szCs w:val="28"/>
        </w:rPr>
      </w:pPr>
    </w:p>
    <w:p w:rsidR="00A44F6B" w:rsidRDefault="00A44F6B" w:rsidP="00A44F6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4F6B">
        <w:rPr>
          <w:rFonts w:ascii="Times New Roman" w:hAnsi="Times New Roman" w:cs="Times New Roman"/>
          <w:b/>
          <w:sz w:val="32"/>
          <w:szCs w:val="32"/>
        </w:rPr>
        <w:t>Разработка статического веб-интерфейса с применением принципов семантической разметки и адаптивного дизайна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A44F6B" w:rsidRPr="00A44F6B" w:rsidRDefault="00A44F6B" w:rsidP="00A44F6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Сайт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MangaFU</w:t>
      </w:r>
      <w:proofErr w:type="spellEnd"/>
    </w:p>
    <w:p w:rsidR="00A44F6B" w:rsidRPr="00FF0D03" w:rsidRDefault="00A44F6B" w:rsidP="00A44F6B">
      <w:pPr>
        <w:rPr>
          <w:rFonts w:ascii="Times New Roman" w:hAnsi="Times New Roman" w:cs="Times New Roman"/>
          <w:color w:val="000000" w:themeColor="text1"/>
          <w:szCs w:val="28"/>
        </w:rPr>
      </w:pPr>
    </w:p>
    <w:p w:rsidR="00A44F6B" w:rsidRPr="00FF0D03" w:rsidRDefault="00A44F6B" w:rsidP="00A44F6B">
      <w:pPr>
        <w:rPr>
          <w:rFonts w:ascii="Times New Roman" w:hAnsi="Times New Roman" w:cs="Times New Roman"/>
          <w:color w:val="000000" w:themeColor="text1"/>
          <w:szCs w:val="28"/>
        </w:rPr>
      </w:pPr>
    </w:p>
    <w:p w:rsidR="00A44F6B" w:rsidRPr="00FF0D03" w:rsidRDefault="00A44F6B" w:rsidP="00A44F6B">
      <w:pPr>
        <w:rPr>
          <w:rFonts w:ascii="Times New Roman" w:hAnsi="Times New Roman" w:cs="Times New Roman"/>
          <w:color w:val="000000" w:themeColor="text1"/>
          <w:szCs w:val="28"/>
        </w:rPr>
      </w:pPr>
    </w:p>
    <w:p w:rsidR="00A44F6B" w:rsidRPr="00FF0D03" w:rsidRDefault="00A44F6B" w:rsidP="00A44F6B">
      <w:pPr>
        <w:rPr>
          <w:rFonts w:ascii="Times New Roman" w:hAnsi="Times New Roman" w:cs="Times New Roman"/>
          <w:color w:val="000000" w:themeColor="text1"/>
          <w:szCs w:val="28"/>
        </w:rPr>
      </w:pPr>
    </w:p>
    <w:p w:rsidR="00A44F6B" w:rsidRPr="00FF0D03" w:rsidRDefault="00A44F6B" w:rsidP="00A44F6B">
      <w:pPr>
        <w:rPr>
          <w:rFonts w:ascii="Times New Roman" w:hAnsi="Times New Roman" w:cs="Times New Roman"/>
          <w:color w:val="000000" w:themeColor="text1"/>
          <w:szCs w:val="28"/>
        </w:rPr>
      </w:pPr>
    </w:p>
    <w:p w:rsidR="00A44F6B" w:rsidRDefault="00A44F6B" w:rsidP="00A44F6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44F6B" w:rsidRPr="00FF0D03" w:rsidRDefault="00A44F6B" w:rsidP="00A44F6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44F6B" w:rsidRPr="00FF0D03" w:rsidRDefault="00A44F6B" w:rsidP="00A44F6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44F6B" w:rsidRDefault="00A44F6B" w:rsidP="00A44F6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0D03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FF0D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Карпец М.А</w:t>
      </w:r>
    </w:p>
    <w:p w:rsidR="00A44F6B" w:rsidRPr="00A44F6B" w:rsidRDefault="00A44F6B" w:rsidP="00A44F6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Студент группы ПР-24.103</w:t>
      </w:r>
    </w:p>
    <w:p w:rsidR="00A44F6B" w:rsidRPr="00FF0D03" w:rsidRDefault="00A44F6B" w:rsidP="00A44F6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44F6B" w:rsidRPr="00FF0D03" w:rsidRDefault="00A44F6B" w:rsidP="00A44F6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44F6B" w:rsidRPr="00FF0D03" w:rsidRDefault="00A44F6B" w:rsidP="00A44F6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44F6B" w:rsidRDefault="00A44F6B" w:rsidP="00A44F6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44F6B" w:rsidRDefault="00A44F6B" w:rsidP="00A44F6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44F6B" w:rsidRPr="00FF0D03" w:rsidRDefault="00A44F6B" w:rsidP="00A44F6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44F6B" w:rsidRDefault="00A44F6B" w:rsidP="00A44F6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0D03">
        <w:rPr>
          <w:rFonts w:ascii="Times New Roman" w:hAnsi="Times New Roman" w:cs="Times New Roman"/>
          <w:color w:val="000000" w:themeColor="text1"/>
          <w:sz w:val="28"/>
          <w:szCs w:val="28"/>
        </w:rPr>
        <w:t>2025</w:t>
      </w:r>
    </w:p>
    <w:p w:rsidR="00B838D3" w:rsidRDefault="00A44F6B" w:rsidP="00A44F6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A44F6B">
        <w:rPr>
          <w:rFonts w:ascii="Times New Roman" w:hAnsi="Times New Roman" w:cs="Times New Roman"/>
          <w:b/>
          <w:sz w:val="32"/>
          <w:szCs w:val="32"/>
        </w:rPr>
        <w:lastRenderedPageBreak/>
        <w:t>Описание предметной области</w:t>
      </w:r>
    </w:p>
    <w:p w:rsidR="00A44F6B" w:rsidRPr="00A44F6B" w:rsidRDefault="00A44F6B" w:rsidP="00A44F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F6B">
        <w:rPr>
          <w:rFonts w:ascii="Times New Roman" w:hAnsi="Times New Roman" w:cs="Times New Roman"/>
          <w:sz w:val="28"/>
          <w:szCs w:val="28"/>
        </w:rPr>
        <w:t xml:space="preserve">Сфера торговли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мангой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, представляющей собой японские комиксы, формирует уникальный и динамичный сегмент книжного рынка, глубоко укорененный в культурном контексте. Эта область деятельности охватывает всю цепочку создания ценности — от переговоров с правообладателями и издательствами о лицензиях до финальной передачи физического тома или цифрового файла в руки читателя. Ключевая цель, вокруг которой строится вся система, заключается в обеспечении устойчивого и удобного доступа целевой аудитории к широкому и разнообразному ассортименту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манги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, максимально полно удовлетворяющему её интересы и культурные запросы. Функционирование системы происходит в условиях высокой волатильности: потребительские тренды быстро меняются, доступ к контенту жестко регламентирован политикой японских правообладателей, а легальным игрокам приходится конкурировать как с крупными книжными сетями, так и с обширной сетью пиратских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интернет-ресурсов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>. Успех в этой области, следовательно, определяется не только качеством товара, но и эффективностью логистических цепочек, уровнем клиентского сервиса, способностью формировать глубокий и интересный ассортимент, а также создавать сообщество вокруг продукта.</w:t>
      </w:r>
    </w:p>
    <w:p w:rsidR="00A44F6B" w:rsidRPr="00A44F6B" w:rsidRDefault="00A44F6B" w:rsidP="00A44F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F6B">
        <w:rPr>
          <w:rFonts w:ascii="Times New Roman" w:hAnsi="Times New Roman" w:cs="Times New Roman"/>
          <w:sz w:val="28"/>
          <w:szCs w:val="28"/>
        </w:rPr>
        <w:t xml:space="preserve">Основными сущностями, с которыми оперирует данная предметная область, являются товар, клиент, поставщик, заказ и склад. Товаром, безусловно, выступает сама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манга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 — это сложносоставной объект, описываемый множеством атрибутов: оригинальным и локализованным названием, именем автора и художника, издательством, принадлежностью к определенной серии, номером тома, жанровой принадлежностью, возрастным рейтингом, а также физическими характеристиками вроде формата, качества бумаги и типа переплета. Каждый экземпляр имеет уникальный артикул и систему ценообразования, базирующуюся на закупочной стоимости. Существует товар в двух принципиальных формах: как физический печатный том и как цифровая копия. Клиент, или конечный покупатель, — это </w:t>
      </w:r>
      <w:r w:rsidRPr="00A44F6B">
        <w:rPr>
          <w:rFonts w:ascii="Times New Roman" w:hAnsi="Times New Roman" w:cs="Times New Roman"/>
          <w:sz w:val="28"/>
          <w:szCs w:val="28"/>
        </w:rPr>
        <w:lastRenderedPageBreak/>
        <w:t xml:space="preserve">центральная фигура системы, чьи действия инициируют основные процессы. Аудитория крайне неоднородна: от случайных читателей, купивших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мангу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 по совету друга, до увлеченных фанатов-коллекционеров, стремящихся приобрести все тома любимой серии, включая редкие и специальные издания. Их поведение определяется предпочтениями по жанрам, лояльностью к авторам, чувствительностью к цене и готовностью участвовать в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предзаказах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 новинок.</w:t>
      </w:r>
    </w:p>
    <w:p w:rsidR="00A44F6B" w:rsidRPr="00A44F6B" w:rsidRDefault="00A44F6B" w:rsidP="00A44F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F6B">
        <w:rPr>
          <w:rFonts w:ascii="Times New Roman" w:hAnsi="Times New Roman" w:cs="Times New Roman"/>
          <w:sz w:val="28"/>
          <w:szCs w:val="28"/>
        </w:rPr>
        <w:t xml:space="preserve">Поставщик в этой системе — это юридическое лицо, обеспечивающее продавца товаром. Чаще всего это отечественный издатель-лицензиат, который приобрел права на выпуск и распространение конкретной серии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манги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 в стране, осуществил перевод, верстку и печать. Альтернативой выступают крупные оптовые дистрибьюторы, специализирующиеся на комиксах, или импортеры, поставляющие оригинальную японскую продукцию. Каждый заказ, оформляемый клиентом, фиксирует намерение покупки и содержит в себе полную информацию о составе, стоимости, выбранном способе оплаты и доставки, а также текущем статусе исполнения. Физическим воплощением товарного запаса является склад — реальное или виртуальное пространство, где осуществляется учет остатков по каждому наименованию, контролируется себестоимость партий и сроки хранения. На этапе выбора товара клиентом используется временный объект — корзина, которая агрегирует его текущие намерения перед окончательным оформлением.</w:t>
      </w:r>
    </w:p>
    <w:p w:rsidR="00A44F6B" w:rsidRPr="00A44F6B" w:rsidRDefault="00A44F6B" w:rsidP="00A44F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F6B">
        <w:rPr>
          <w:rFonts w:ascii="Times New Roman" w:hAnsi="Times New Roman" w:cs="Times New Roman"/>
          <w:sz w:val="28"/>
          <w:szCs w:val="28"/>
        </w:rPr>
        <w:t xml:space="preserve">Связи между этими объектами образуют каркас, на котором держатся все бизнес-процессы. Поставщик поставляет партии товара на склад, определяя его доступность для продажи. Одна серия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манги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 может поступать от разных поставщиков, а один поставщик обычно предлагает множество различных серий. Клиент, взаимодействуя с каталогом товаров, формирует корзину, а затем оформляет заказ, устанавливая тем самым прямую связь между собой и конкретными товарными позициями. Сам заказ, в свою очередь, содержит строгий перечень товаров и их количества, что определяет, </w:t>
      </w:r>
      <w:r w:rsidRPr="00A44F6B">
        <w:rPr>
          <w:rFonts w:ascii="Times New Roman" w:hAnsi="Times New Roman" w:cs="Times New Roman"/>
          <w:sz w:val="28"/>
          <w:szCs w:val="28"/>
        </w:rPr>
        <w:lastRenderedPageBreak/>
        <w:t xml:space="preserve">какие именно единицы и в каком объеме должны быть зарезервированы и впоследствии списаны со складских остатков. Таким образом, склад выступает материальной базой для исполнения заказа: система проверяет наличие и резервирует необходимые тома под конкретную покупку. Персонал компании является активным агентом, взаимодействующим со всеми этими связями: менеджеры </w:t>
      </w:r>
      <w:r w:rsidR="00BB1291" w:rsidRPr="00A44F6B">
        <w:rPr>
          <w:rFonts w:ascii="Times New Roman" w:hAnsi="Times New Roman" w:cs="Times New Roman"/>
          <w:sz w:val="28"/>
          <w:szCs w:val="28"/>
        </w:rPr>
        <w:t>по закупкам,</w:t>
      </w:r>
      <w:r w:rsidRPr="00A44F6B">
        <w:rPr>
          <w:rFonts w:ascii="Times New Roman" w:hAnsi="Times New Roman" w:cs="Times New Roman"/>
          <w:sz w:val="28"/>
          <w:szCs w:val="28"/>
        </w:rPr>
        <w:t xml:space="preserve"> работают с поставщиками, кладовщики управляют складом и исполнением заказов, а служба поддержки обслуживает связь между клиентом и его заказами.</w:t>
      </w:r>
    </w:p>
    <w:p w:rsidR="00A44F6B" w:rsidRPr="00A44F6B" w:rsidRDefault="00A44F6B" w:rsidP="00A44F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F6B">
        <w:rPr>
          <w:rFonts w:ascii="Times New Roman" w:hAnsi="Times New Roman" w:cs="Times New Roman"/>
          <w:sz w:val="28"/>
          <w:szCs w:val="28"/>
        </w:rPr>
        <w:t xml:space="preserve">Бизнес-процессы в данной области четко разделяются на фронт-офисные, ориентированные на клиента, и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бэк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-офисные, обеспечивающие внутреннюю работу. К процессам продажи относятся каталогизация и презентация товара, что подразумевает постоянное обновление ассортимента, наполнение карточек описаниями, обложками и отзывами. Далее следует обработка заказа клиента, включающая проверку актуальности цен и наличия товара, расчет финальной стоимости с учетом доставки. Следующий этап — прием и обработка платежа через интегрированные системы. После подтверждения оплаты начинается обработка и отгрузка: формируется задание на сборку на складе, товар упаковывается и передается службе доставки. Завершает цикл работа службы поддержки, занимающейся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постпродажным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 обслуживанием, консультациями и решением проблем. На стороне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бэк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>-офиса ключевыми являются процессы закупки и логистики: управление ассортиментом на основе анализа продаж и прогнозов, работа с поставщиками по заключению договоров, управление складскими операциями (приемка, размещение, сборка, инвентаризация) и комплексная логистика, включающая выбор перевозчиков и обработку возвратов.</w:t>
      </w:r>
    </w:p>
    <w:p w:rsidR="00A44F6B" w:rsidRPr="00A44F6B" w:rsidRDefault="00A44F6B" w:rsidP="00A44F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F6B">
        <w:rPr>
          <w:rFonts w:ascii="Times New Roman" w:hAnsi="Times New Roman" w:cs="Times New Roman"/>
          <w:sz w:val="28"/>
          <w:szCs w:val="28"/>
        </w:rPr>
        <w:t xml:space="preserve">Поведение системы и участников регламентируется набором бизнес-правил. Правила ценообразования устанавливают, что розничная цена формируется из закупочной с учетом наценки, покрывающей издержки и прибыль, при этом возможны различные скидки (на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предзаказы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, серии, по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промокодам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). Правила наличия определяют, что продажа возможна только </w:t>
      </w:r>
      <w:r w:rsidRPr="00A44F6B">
        <w:rPr>
          <w:rFonts w:ascii="Times New Roman" w:hAnsi="Times New Roman" w:cs="Times New Roman"/>
          <w:sz w:val="28"/>
          <w:szCs w:val="28"/>
        </w:rPr>
        <w:lastRenderedPageBreak/>
        <w:t xml:space="preserve">при статусах «В наличии» или «Под заказ» с четкой датой ожидаемой поставки. Для управления дефицитом существует правило резервирования: товар в корзине может временно удерживаться, а после оформления заказа — фиксируется за клиентом до отгрузки. Правила возврата и обмена базируются на законодательстве о защите прав потребителей и внутренних регламентах, особенно в случаях брака полиграфии. Отдельный комплекс правил регулирует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предзаказы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>, фиксируя цену и условия предоплаты. Для части продукции с возрастными ограничениями (18+) действуют строгие правила контроля, требующие подтверждения совершеннолетия при покупке или получении.</w:t>
      </w:r>
    </w:p>
    <w:p w:rsidR="00A44F6B" w:rsidRPr="00A44F6B" w:rsidRDefault="00A44F6B" w:rsidP="00A44F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F6B">
        <w:rPr>
          <w:rFonts w:ascii="Times New Roman" w:hAnsi="Times New Roman" w:cs="Times New Roman"/>
          <w:sz w:val="28"/>
          <w:szCs w:val="28"/>
        </w:rPr>
        <w:t xml:space="preserve">Типичные сценарии взаимодействия пользователей с системой хорошо иллюстрируют её повседневную работу. Стандартный сценарий — поиск и покупка конкретного тома: пользователь находит нужную серию через поиск или навигацию, проверяет описание и наличие, добавляет товар в корзину, оформляет заказ, выбирает оплату и доставку, подтверждает и оплачивает. Другой частый сценарий — исследование новинок: клиент просматривает соответствующие разделы, читает анонсы и может оформить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предзаказ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 или добавить товар в лист ожидания. После совершения покупки запускается сценарий отслеживания статуса заказа, когда пользователь через личный кабинет видит этапы обработки и получает трекинг-номер для самостоятельного контроля доставки. При возникновении проблем, </w:t>
      </w:r>
      <w:proofErr w:type="gramStart"/>
      <w:r w:rsidRPr="00A44F6B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A44F6B">
        <w:rPr>
          <w:rFonts w:ascii="Times New Roman" w:hAnsi="Times New Roman" w:cs="Times New Roman"/>
          <w:sz w:val="28"/>
          <w:szCs w:val="28"/>
        </w:rPr>
        <w:t xml:space="preserve"> обнаружении брака, активируется сценарий обращения в службу поддержки, который включает подачу заявления, предоставление доказательств и инициирование процедуры возврата или замены. Существует и офлайн-сценарий, характерный для работы с малым оптом, когда менеджер по телефону принимает заказ от другого магазина, вручную проверяет остатки, согласовывает оптовые цены и выставляет счет.</w:t>
      </w:r>
    </w:p>
    <w:p w:rsidR="00A44F6B" w:rsidRPr="00A44F6B" w:rsidRDefault="00A44F6B" w:rsidP="00A44F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F6B">
        <w:rPr>
          <w:rFonts w:ascii="Times New Roman" w:hAnsi="Times New Roman" w:cs="Times New Roman"/>
          <w:sz w:val="28"/>
          <w:szCs w:val="28"/>
        </w:rPr>
        <w:t xml:space="preserve">Организационная структура компании, действующей в этой области, включает несколько ключевых ролей и подразделений. Стратегическое руководство и общий контроль осуществляет директор или владелец, который </w:t>
      </w:r>
      <w:r w:rsidRPr="00A44F6B">
        <w:rPr>
          <w:rFonts w:ascii="Times New Roman" w:hAnsi="Times New Roman" w:cs="Times New Roman"/>
          <w:sz w:val="28"/>
          <w:szCs w:val="28"/>
        </w:rPr>
        <w:lastRenderedPageBreak/>
        <w:t xml:space="preserve">определяет финансовые планы и утверждает крупные закупки. Коммерческий отдел, включающий менеджеров по закупкам, отвечает за формирование отношений с издателями, наполнение ассортимента и переговоры по условиям поставки. Маркетолог или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мерчендайзер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 в этом же отделе занимается продвижением товара, анализом спроса и созданием контента. Непосредственную работу с клиентским потоком обеспечивает отдел продаж и обслуживания, где менеджер по онлайн-продажам курирует работу цифровых платформ, а специалисты службы поддержки решают текущие вопросы пользователей. Физическую основу бизнеса составляет складской и логистический комплекс под руководством начальника склада, в подчинении которого находятся кладовщики, осуществляющие приемку и комплектацию, и логист, ответственный за взаимодействие с курьерскими службами. Техническую инфраструктуру поддерживает IT-отдел или системный администратор, обеспечивающий бесперебойную работу сайта и внутренних учетных систем.</w:t>
      </w:r>
    </w:p>
    <w:p w:rsidR="00A44F6B" w:rsidRPr="00A44F6B" w:rsidRDefault="00A44F6B" w:rsidP="00A44F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F6B">
        <w:rPr>
          <w:rFonts w:ascii="Times New Roman" w:hAnsi="Times New Roman" w:cs="Times New Roman"/>
          <w:sz w:val="28"/>
          <w:szCs w:val="28"/>
        </w:rPr>
        <w:t xml:space="preserve">Участники системы сталкиваются с рядом специфических проблем и вызовов. Для бизнеса основной сложностью является высокая зависимость от внешних факторов: лицензионной политики японских правообладателей и графиков выпуска локализаций отечественными издателями. Это создает риски дефицита популярных серий и «замораживания» средств в неликвидах — непопулярных томах, которые не находят спроса. Ручное управление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предзаказами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 и отслеживание постоянно меняющихся дат выхода от десятков издателей — трудоемкая и чреватая ошибками задача. Серьезной угрозой остаются пиратские сайты, переманивающие аудиторию бесплатным, но нелегальным контентом. Логистика также представляет проблему из-за хрупкости товара, требующей особых условий упаковки и транспортировки для предотвращения повреждений. Со стороны клиентов ключевые трудности связаны с фрагментарностью информации: отсутствует единый каталог с актуальным наличием по всем магазинам, сложно отслеживать выход новых томов многочисленных серий. Физическая доставка сопряжена с риском </w:t>
      </w:r>
      <w:r w:rsidRPr="00A44F6B">
        <w:rPr>
          <w:rFonts w:ascii="Times New Roman" w:hAnsi="Times New Roman" w:cs="Times New Roman"/>
          <w:sz w:val="28"/>
          <w:szCs w:val="28"/>
        </w:rPr>
        <w:lastRenderedPageBreak/>
        <w:t>повреждения книг, а процедура возврата часто воспринимается как излишне бюрократизированная. Наконец, высокая совокупная стоимость коллекционирования многих серий является финансовым барьером для части аудитории.</w:t>
      </w:r>
    </w:p>
    <w:p w:rsidR="00A44F6B" w:rsidRPr="00A44F6B" w:rsidRDefault="00A44F6B" w:rsidP="00A44F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F6B">
        <w:rPr>
          <w:rFonts w:ascii="Times New Roman" w:hAnsi="Times New Roman" w:cs="Times New Roman"/>
          <w:sz w:val="28"/>
          <w:szCs w:val="28"/>
        </w:rPr>
        <w:t xml:space="preserve">Потенциальные направления улучшения системы лежат в организационной и процессной плоскостях. Одним из ключевых шагов могла бы стать отраслевая стандартизация данных о товарах: создание единого классификатора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манги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 по жанрам, тегам и авторам, а также синхронизация информации об изданиях между всеми издателями и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ритейлерами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 для обеспечения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консистентности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. Это значительно упростило бы навигацию для клиентов и управление каталогами для продавцов. Развитие специализированной логистики, ориентированной именно на доставку книжной и коллекционной продукции с гарантией сохранности, помогло бы снизить число рекламаций. Усиление экспертной составляющей через привлечение известных рецензентов и </w:t>
      </w:r>
      <w:proofErr w:type="gramStart"/>
      <w:r w:rsidR="00BB1291" w:rsidRPr="00A44F6B">
        <w:rPr>
          <w:rFonts w:ascii="Times New Roman" w:hAnsi="Times New Roman" w:cs="Times New Roman"/>
          <w:sz w:val="28"/>
          <w:szCs w:val="28"/>
        </w:rPr>
        <w:t>создателей контента для фо</w:t>
      </w:r>
      <w:r w:rsidR="00BB1291">
        <w:rPr>
          <w:rFonts w:ascii="Times New Roman" w:hAnsi="Times New Roman" w:cs="Times New Roman"/>
          <w:sz w:val="28"/>
          <w:szCs w:val="28"/>
        </w:rPr>
        <w:t>рмирования авторитетных обзоров</w:t>
      </w:r>
      <w:proofErr w:type="gramEnd"/>
      <w:r w:rsidRPr="00A44F6B">
        <w:rPr>
          <w:rFonts w:ascii="Times New Roman" w:hAnsi="Times New Roman" w:cs="Times New Roman"/>
          <w:sz w:val="28"/>
          <w:szCs w:val="28"/>
        </w:rPr>
        <w:t xml:space="preserve"> и подборок</w:t>
      </w:r>
      <w:r w:rsidR="00BB1291">
        <w:rPr>
          <w:rFonts w:ascii="Times New Roman" w:hAnsi="Times New Roman" w:cs="Times New Roman"/>
          <w:sz w:val="28"/>
          <w:szCs w:val="28"/>
        </w:rPr>
        <w:t>,</w:t>
      </w:r>
      <w:r w:rsidRPr="00A44F6B">
        <w:rPr>
          <w:rFonts w:ascii="Times New Roman" w:hAnsi="Times New Roman" w:cs="Times New Roman"/>
          <w:sz w:val="28"/>
          <w:szCs w:val="28"/>
        </w:rPr>
        <w:t xml:space="preserve"> повысило бы доверие аудитории и помогало бы новичкам ориентироваться в многообразии выбора. Оптимизация модели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предзаказов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, например, через систему агрегированного прогнозирования спроса от всех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ритейлеров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 для издателей, позволила бы точнее планировать тиражи,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минимизируя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 как дефицит, так и излишки. Наконец, развитие глубоких программ лояльности и партнерских клубов с эксклюзивным контентом, ранним доступом к покупкам и специальными изданиями повысило бы ценность легального потребления и создало бы устойчивое сообщество вокруг продукта, что является действенным ответом на пиратство.</w:t>
      </w:r>
    </w:p>
    <w:p w:rsidR="00A44F6B" w:rsidRPr="00A44F6B" w:rsidRDefault="00A44F6B" w:rsidP="00A44F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F6B">
        <w:rPr>
          <w:rFonts w:ascii="Times New Roman" w:hAnsi="Times New Roman" w:cs="Times New Roman"/>
          <w:sz w:val="28"/>
          <w:szCs w:val="28"/>
        </w:rPr>
        <w:t xml:space="preserve">Таким образом, предметная область торговли </w:t>
      </w:r>
      <w:proofErr w:type="spellStart"/>
      <w:r w:rsidRPr="00A44F6B">
        <w:rPr>
          <w:rFonts w:ascii="Times New Roman" w:hAnsi="Times New Roman" w:cs="Times New Roman"/>
          <w:sz w:val="28"/>
          <w:szCs w:val="28"/>
        </w:rPr>
        <w:t>мангой</w:t>
      </w:r>
      <w:proofErr w:type="spellEnd"/>
      <w:r w:rsidRPr="00A44F6B">
        <w:rPr>
          <w:rFonts w:ascii="Times New Roman" w:hAnsi="Times New Roman" w:cs="Times New Roman"/>
          <w:sz w:val="28"/>
          <w:szCs w:val="28"/>
        </w:rPr>
        <w:t xml:space="preserve"> представляет собой сложный, культурно-обусловленный организм, чья жизнеспособность зависит от слаженной работы всех звеньев цепи — от правообладателя до читателя. Её устойчивое развитие требует не только эффективных операционных процессов, но и глубокого понимания специфики продукта, его </w:t>
      </w:r>
      <w:r w:rsidRPr="00A44F6B">
        <w:rPr>
          <w:rFonts w:ascii="Times New Roman" w:hAnsi="Times New Roman" w:cs="Times New Roman"/>
          <w:sz w:val="28"/>
          <w:szCs w:val="28"/>
        </w:rPr>
        <w:lastRenderedPageBreak/>
        <w:t>аудитории и культурного контекста, а также постоянной адаптации к изменчивой рыночной среде и потребительским ожиданиям.</w:t>
      </w:r>
    </w:p>
    <w:p w:rsidR="00A44F6B" w:rsidRDefault="00A44F6B" w:rsidP="00A44F6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B1291" w:rsidRDefault="00BB1291" w:rsidP="00A44F6B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28"/>
        </w:rPr>
      </w:pPr>
      <w:r w:rsidRPr="00BB1291">
        <w:rPr>
          <w:rFonts w:ascii="Times New Roman" w:hAnsi="Times New Roman" w:cs="Times New Roman"/>
          <w:b/>
          <w:sz w:val="32"/>
          <w:szCs w:val="28"/>
          <w:lang w:val="en-US"/>
        </w:rPr>
        <w:t xml:space="preserve">Use-case </w:t>
      </w:r>
      <w:r w:rsidRPr="00BB1291">
        <w:rPr>
          <w:rFonts w:ascii="Times New Roman" w:hAnsi="Times New Roman" w:cs="Times New Roman"/>
          <w:b/>
          <w:sz w:val="32"/>
          <w:szCs w:val="28"/>
        </w:rPr>
        <w:t>диаграмма</w:t>
      </w:r>
    </w:p>
    <w:p w:rsidR="00BB1291" w:rsidRPr="00847E22" w:rsidRDefault="00BB1291" w:rsidP="00A44F6B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en-US"/>
        </w:rPr>
      </w:pPr>
      <w:bookmarkStart w:id="0" w:name="_GoBack"/>
      <w:bookmarkEnd w:id="0"/>
    </w:p>
    <w:sectPr w:rsidR="00BB1291" w:rsidRPr="00847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9"/>
    <w:rsid w:val="00031CC9"/>
    <w:rsid w:val="00847E22"/>
    <w:rsid w:val="00A44F6B"/>
    <w:rsid w:val="00B838D3"/>
    <w:rsid w:val="00BB1291"/>
    <w:rsid w:val="00DB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95698"/>
  <w15:chartTrackingRefBased/>
  <w15:docId w15:val="{677F65B4-ADA1-4F9A-BAD0-7D753315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4F6B"/>
  </w:style>
  <w:style w:type="paragraph" w:styleId="1">
    <w:name w:val="heading 1"/>
    <w:basedOn w:val="a"/>
    <w:link w:val="10"/>
    <w:uiPriority w:val="9"/>
    <w:qFormat/>
    <w:rsid w:val="00A44F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4F6B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A44F6B"/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44F6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A44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5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1825</Words>
  <Characters>10404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maritel798@outlook.com</dc:creator>
  <cp:keywords/>
  <dc:description/>
  <cp:lastModifiedBy>maritel798@outlook.com</cp:lastModifiedBy>
  <cp:revision>2</cp:revision>
  <dcterms:created xsi:type="dcterms:W3CDTF">2025-12-27T14:37:00Z</dcterms:created>
  <dcterms:modified xsi:type="dcterms:W3CDTF">2025-12-27T17:31:00Z</dcterms:modified>
</cp:coreProperties>
</file>