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FixtureKicker"/>
      </w:pPr>
      <w:r>
        <w:rPr>
          <w:rFonts w:ascii="Calibri" w:hAnsi="Calibri" w:cs="Calibri"/>
          <w:b/>
          <w:color w:val="7A5A00"/>
          <w:sz w:val="20"/>
        </w:rPr>
        <w:t>DUMMY QA FIXTURE  /  DOCX REVIEW VIEWER</w:t>
      </w:r>
    </w:p>
    <w:p>
      <w:pPr>
        <w:pStyle w:val="Title"/>
      </w:pPr>
      <w:r>
        <w:rPr>
          <w:rFonts w:ascii="Calibri" w:hAnsi="Calibri" w:cs="Calibri"/>
          <w:b/>
          <w:color w:val="000000"/>
          <w:sz w:val="46"/>
        </w:rPr>
        <w:t>PERJANJIAN KERJA SAMA LAYANAN PLATFORM DIGITAL</w:t>
      </w:r>
    </w:p>
    <w:p>
      <w:pPr>
        <w:pStyle w:val="Subtitle"/>
      </w:pPr>
      <w:r>
        <w:rPr>
          <w:rFonts w:ascii="Calibri" w:hAnsi="Calibri" w:cs="Calibri"/>
          <w:color w:val="555555"/>
          <w:sz w:val="28"/>
        </w:rPr>
        <w:t>Dokumen legal sintetis untuk pengujian extraction, Quick Look, review, dan ekspor</w:t>
      </w:r>
    </w:p>
    <w:tbl>
      <w:tblPr>
        <w:tblW w:type="dxa" w:w="9360"/>
        <w:jc w:val="left"/>
        <w:tblLayout w:type="fixed"/>
        <w:tblLook w:firstColumn="1" w:firstRow="1" w:lastColumn="0" w:lastRow="0" w:noHBand="0" w:noVBand="1" w:val="04A0"/>
        <w:tblInd w:w="120" w:type="dxa"/>
        <w:tblBorders>
          <w:top w:val="single" w:sz="6" w:space="0" w:color="B7C2D0"/>
          <w:left w:val="single" w:sz="6" w:space="0" w:color="B7C2D0"/>
          <w:bottom w:val="single" w:sz="6" w:space="0" w:color="B7C2D0"/>
          <w:right w:val="single" w:sz="6" w:space="0" w:color="B7C2D0"/>
          <w:insideH w:val="single" w:sz="6" w:space="0" w:color="B7C2D0"/>
          <w:insideV w:val="single" w:sz="6" w:space="0" w:color="B7C2D0"/>
        </w:tblBorders>
      </w:tblPr>
      <w:tblGrid>
        <w:gridCol w:w="2160"/>
        <w:gridCol w:w="7200"/>
      </w:tblGrid>
      <w:tr>
        <w:tc>
          <w:tcPr>
            <w:tcW w:type="dxa" w:w="2160"/>
            <w:tcMar>
              <w:top w:w="80" w:type="dxa"/>
              <w:start w:w="120" w:type="dxa"/>
              <w:bottom w:w="80" w:type="dxa"/>
              <w:end w:w="120" w:type="dxa"/>
            </w:tcMar>
            <w:vAlign w:val="center"/>
            <w:shd w:fill="E8EEF5" w:val="clear"/>
          </w:tcPr>
          <w:p>
            <w:pPr>
              <w:spacing w:before="0" w:after="60" w:line="252" w:lineRule="auto"/>
            </w:pPr>
            <w:r>
              <w:rPr>
                <w:rFonts w:ascii="Calibri" w:hAnsi="Calibri" w:cs="Calibri"/>
                <w:b/>
                <w:color w:val="1F4D78"/>
                <w:sz w:val="19"/>
              </w:rPr>
              <w:t>STATUS</w:t>
            </w:r>
          </w:p>
        </w:tc>
        <w:tc>
          <w:tcPr>
            <w:tcW w:type="dxa" w:w="7200"/>
            <w:tcMar>
              <w:top w:w="80" w:type="dxa"/>
              <w:start w:w="120" w:type="dxa"/>
              <w:bottom w:w="80" w:type="dxa"/>
              <w:end w:w="120" w:type="dxa"/>
            </w:tcMar>
            <w:vAlign w:val="center"/>
          </w:tcPr>
          <w:p>
            <w:pPr>
              <w:spacing w:before="0" w:after="60" w:line="252" w:lineRule="auto"/>
            </w:pPr>
            <w:r>
              <w:rPr>
                <w:rFonts w:ascii="Calibri" w:hAnsi="Calibri" w:cs="Calibri"/>
                <w:b w:val="0"/>
                <w:color w:val="000000"/>
                <w:sz w:val="19"/>
              </w:rPr>
              <w:t>DOKUMEN FIKTIF UNTUK PENGUJIAN — bukan kontrak yang berlaku</w:t>
            </w:r>
          </w:p>
        </w:tc>
      </w:tr>
      <w:tr>
        <w:tc>
          <w:tcPr>
            <w:tcW w:type="dxa" w:w="2160"/>
            <w:tcMar>
              <w:top w:w="80" w:type="dxa"/>
              <w:start w:w="120" w:type="dxa"/>
              <w:bottom w:w="80" w:type="dxa"/>
              <w:end w:w="120" w:type="dxa"/>
            </w:tcMar>
            <w:vAlign w:val="center"/>
            <w:shd w:fill="E8EEF5" w:val="clear"/>
          </w:tcPr>
          <w:p>
            <w:pPr>
              <w:spacing w:before="0" w:after="60" w:line="252" w:lineRule="auto"/>
            </w:pPr>
            <w:r>
              <w:rPr>
                <w:rFonts w:ascii="Calibri" w:hAnsi="Calibri" w:cs="Calibri"/>
                <w:b/>
                <w:color w:val="1F4D78"/>
                <w:sz w:val="19"/>
              </w:rPr>
              <w:t>VERSI</w:t>
            </w:r>
          </w:p>
        </w:tc>
        <w:tc>
          <w:tcPr>
            <w:tcW w:type="dxa" w:w="7200"/>
            <w:tcMar>
              <w:top w:w="80" w:type="dxa"/>
              <w:start w:w="120" w:type="dxa"/>
              <w:bottom w:w="80" w:type="dxa"/>
              <w:end w:w="120" w:type="dxa"/>
            </w:tcMar>
            <w:vAlign w:val="center"/>
          </w:tcPr>
          <w:p>
            <w:pPr>
              <w:spacing w:before="0" w:after="60" w:line="252" w:lineRule="auto"/>
            </w:pPr>
            <w:r>
              <w:rPr>
                <w:rFonts w:ascii="Calibri" w:hAnsi="Calibri" w:cs="Calibri"/>
                <w:b w:val="0"/>
                <w:color w:val="000000"/>
                <w:sz w:val="19"/>
              </w:rPr>
              <w:t>0.1 • 1 September 2026 • fixture untuk AMT Document Review Viewer</w:t>
            </w:r>
          </w:p>
        </w:tc>
      </w:tr>
      <w:tr>
        <w:tc>
          <w:tcPr>
            <w:tcW w:type="dxa" w:w="2160"/>
            <w:tcMar>
              <w:top w:w="80" w:type="dxa"/>
              <w:start w:w="120" w:type="dxa"/>
              <w:bottom w:w="80" w:type="dxa"/>
              <w:end w:w="120" w:type="dxa"/>
            </w:tcMar>
            <w:vAlign w:val="center"/>
            <w:shd w:fill="E8EEF5" w:val="clear"/>
          </w:tcPr>
          <w:p>
            <w:pPr>
              <w:spacing w:before="0" w:after="60" w:line="252" w:lineRule="auto"/>
            </w:pPr>
            <w:r>
              <w:rPr>
                <w:rFonts w:ascii="Calibri" w:hAnsi="Calibri" w:cs="Calibri"/>
                <w:b/>
                <w:color w:val="1F4D78"/>
                <w:sz w:val="19"/>
              </w:rPr>
              <w:t>PIHAK</w:t>
            </w:r>
          </w:p>
        </w:tc>
        <w:tc>
          <w:tcPr>
            <w:tcW w:type="dxa" w:w="7200"/>
            <w:tcMar>
              <w:top w:w="80" w:type="dxa"/>
              <w:start w:w="120" w:type="dxa"/>
              <w:bottom w:w="80" w:type="dxa"/>
              <w:end w:w="120" w:type="dxa"/>
            </w:tcMar>
            <w:vAlign w:val="center"/>
          </w:tcPr>
          <w:p>
            <w:pPr>
              <w:spacing w:before="0" w:after="60" w:line="252" w:lineRule="auto"/>
            </w:pPr>
            <w:r>
              <w:rPr>
                <w:rFonts w:ascii="Calibri" w:hAnsi="Calibri" w:cs="Calibri"/>
                <w:b w:val="0"/>
                <w:color w:val="000000"/>
                <w:sz w:val="19"/>
              </w:rPr>
              <w:t>PT Arunika Data Nusantara (Pihak Pertama) dan CV Cakrawala Legal (Pihak Kedua)</w:t>
            </w:r>
          </w:p>
        </w:tc>
      </w:tr>
      <w:tr>
        <w:tc>
          <w:tcPr>
            <w:tcW w:type="dxa" w:w="2160"/>
            <w:tcMar>
              <w:top w:w="80" w:type="dxa"/>
              <w:start w:w="120" w:type="dxa"/>
              <w:bottom w:w="80" w:type="dxa"/>
              <w:end w:w="120" w:type="dxa"/>
            </w:tcMar>
            <w:vAlign w:val="center"/>
            <w:shd w:fill="E8EEF5" w:val="clear"/>
          </w:tcPr>
          <w:p>
            <w:pPr>
              <w:spacing w:before="0" w:after="60" w:line="252" w:lineRule="auto"/>
            </w:pPr>
            <w:r>
              <w:rPr>
                <w:rFonts w:ascii="Calibri" w:hAnsi="Calibri" w:cs="Calibri"/>
                <w:b/>
                <w:color w:val="1F4D78"/>
                <w:sz w:val="19"/>
              </w:rPr>
              <w:t>CAKUPAN QA</w:t>
            </w:r>
          </w:p>
        </w:tc>
        <w:tc>
          <w:tcPr>
            <w:tcW w:type="dxa" w:w="7200"/>
            <w:tcMar>
              <w:top w:w="80" w:type="dxa"/>
              <w:start w:w="120" w:type="dxa"/>
              <w:bottom w:w="80" w:type="dxa"/>
              <w:end w:w="120" w:type="dxa"/>
            </w:tcMar>
            <w:vAlign w:val="center"/>
          </w:tcPr>
          <w:p>
            <w:pPr>
              <w:spacing w:before="0" w:after="60" w:line="252" w:lineRule="auto"/>
            </w:pPr>
            <w:r>
              <w:rPr>
                <w:rFonts w:ascii="Calibri" w:hAnsi="Calibri" w:cs="Calibri"/>
                <w:b w:val="0"/>
                <w:color w:val="000000"/>
                <w:sz w:val="19"/>
              </w:rPr>
              <w:t>Quick Look, extraction Markdown internal, legal terminology, UTF-16 mapping, duplicate text, overlap, dan export DOCX</w:t>
            </w:r>
          </w:p>
        </w:tc>
      </w:tr>
    </w:tbl>
    <w:p>
      <w:pPr>
        <w:spacing w:before="280" w:after="200"/>
        <w:ind w:left="115" w:right="115"/>
        <w:shd w:fill="F4F6F9" w:val="clear"/>
        <w:pBdr>
          <w:left w:val="single" w:sz="18" w:space="8" w:color="2E74B5"/>
        </w:pBdr>
      </w:pPr>
      <w:r>
        <w:rPr>
          <w:rFonts w:ascii="Calibri" w:hAnsi="Calibri" w:cs="Calibri"/>
          <w:i/>
          <w:color w:val="1F4D78"/>
          <w:sz w:val="19"/>
        </w:rPr>
        <w:t>CATATAN PENGUJIAN: seluruh nama, angka, kewajiban, dan rujukan dalam fixture ini bersifat rekaan. Beberapa kalimat sengaja memuat masalah ejaan, redundansi, istilah legal, angka, tanggal, dan struktur untuk menguji perilaku fail-closed.</w:t>
      </w:r>
    </w:p>
    <w:p>
      <w:pPr>
        <w:pStyle w:val="Heading1"/>
        <w:keepNext/>
      </w:pPr>
      <w:r>
        <w:t>BAB I. KETENTUAN UMUM</w:t>
      </w:r>
    </w:p>
    <w:p>
      <w:pPr>
        <w:pStyle w:val="Heading2"/>
        <w:keepNext/>
      </w:pPr>
      <w:r>
        <w:t>Pasal 1. Definisi</w:t>
      </w:r>
    </w:p>
    <w:p>
      <w:pPr>
        <w:spacing w:before="0" w:after="120"/>
      </w:pPr>
      <w:r>
        <w:rPr>
          <w:rFonts w:ascii="Calibri" w:hAnsi="Calibri" w:cs="Calibri"/>
          <w:color w:val="000000"/>
          <w:sz w:val="22"/>
        </w:rPr>
        <w:t>Kecuali konteksnya menentukan lain, istilah dengan huruf kapital dalam Perjanjian ini mempunyai arti sebagai berikut.</w:t>
      </w:r>
    </w:p>
    <w:p>
      <w:pPr>
        <w:numPr>
          <w:ilvl w:val="0"/>
          <w:numId w:val="10"/>
        </w:numPr>
        <w:spacing w:after="160" w:line="280" w:lineRule="auto"/>
        <w:ind w:left="720" w:hanging="360"/>
      </w:pPr>
      <w:r>
        <w:rPr>
          <w:rFonts w:ascii="Calibri" w:hAnsi="Calibri" w:cs="Calibri"/>
          <w:color w:val="000000"/>
          <w:sz w:val="22"/>
        </w:rPr>
        <w:t>Data Pribadi adalah data tentang orang perseorangan yang teridentifikasi atau dapat diidentifikasi secara tersendiri maupun dikombinasi dengan informasi lainnya.</w:t>
      </w:r>
    </w:p>
    <w:p>
      <w:pPr>
        <w:numPr>
          <w:ilvl w:val="0"/>
          <w:numId w:val="10"/>
        </w:numPr>
        <w:spacing w:after="160" w:line="280" w:lineRule="auto"/>
        <w:ind w:left="720" w:hanging="360"/>
      </w:pPr>
      <w:r>
        <w:rPr>
          <w:rFonts w:ascii="Calibri" w:hAnsi="Calibri" w:cs="Calibri"/>
          <w:color w:val="000000"/>
          <w:sz w:val="22"/>
        </w:rPr>
        <w:t>Pelaku Usaha adalah setiap orang perseorangan atau badan usaha yang menyelenggarakan kegiatan usaha dalam berbagai bidang ekonomi.</w:t>
      </w:r>
    </w:p>
    <w:p>
      <w:pPr>
        <w:numPr>
          <w:ilvl w:val="0"/>
          <w:numId w:val="10"/>
        </w:numPr>
        <w:spacing w:after="160" w:line="280" w:lineRule="auto"/>
        <w:ind w:left="720" w:hanging="360"/>
      </w:pPr>
      <w:r>
        <w:rPr>
          <w:rFonts w:ascii="Calibri" w:hAnsi="Calibri" w:cs="Calibri"/>
          <w:color w:val="000000"/>
          <w:sz w:val="22"/>
        </w:rPr>
        <w:t>Korporasi adalah kumpulan orang dan/atau kekayaan yang terorganisasi, baik berbentuk badan hukum maupun bukan badan hukum.</w:t>
      </w:r>
    </w:p>
    <w:p>
      <w:pPr>
        <w:numPr>
          <w:ilvl w:val="0"/>
          <w:numId w:val="10"/>
        </w:numPr>
        <w:spacing w:after="160" w:line="280" w:lineRule="auto"/>
        <w:ind w:left="720" w:hanging="360"/>
      </w:pPr>
      <w:r>
        <w:rPr>
          <w:rFonts w:ascii="Calibri" w:hAnsi="Calibri" w:cs="Calibri"/>
          <w:color w:val="000000"/>
          <w:sz w:val="22"/>
        </w:rPr>
        <w:t>Informasi Rahasia adalah setiap informasi teknis, komersial, finansial, atau operasional yang diberi tanda rahasia atau secara wajar dipahami sebagai rahasia.</w:t>
      </w:r>
    </w:p>
    <w:p>
      <w:pPr>
        <w:numPr>
          <w:ilvl w:val="0"/>
          <w:numId w:val="10"/>
        </w:numPr>
        <w:spacing w:after="160" w:line="280" w:lineRule="auto"/>
        <w:ind w:left="720" w:hanging="360"/>
      </w:pPr>
      <w:r>
        <w:rPr>
          <w:rFonts w:ascii="Calibri" w:hAnsi="Calibri" w:cs="Calibri"/>
          <w:color w:val="000000"/>
          <w:sz w:val="22"/>
        </w:rPr>
        <w:t>Keadaan Kahar atau force majeure adalah peristiwa di luar kendali wajar pihak yang terdampak, termasuk bencana alam, gangguan jaringan luas, dan kebijakan pemerintah yang menghambat pelaksanaan.</w:t>
      </w:r>
    </w:p>
    <w:p>
      <w:pPr>
        <w:spacing w:before="0" w:after="120"/>
      </w:pPr>
      <w:r>
        <w:rPr>
          <w:rFonts w:ascii="Calibri" w:hAnsi="Calibri" w:cs="Calibri"/>
          <w:color w:val="000000"/>
          <w:sz w:val="22"/>
        </w:rPr>
        <w:t>Penyebutan istilah dalam bentuk tunggal mencakup bentuk jamak dan sebaliknya. Rujukan kepada peraturan perundang-undangan mencakup perubahan, penggantian, dan peraturan pelaksanaannya.</w:t>
      </w:r>
    </w:p>
    <w:p>
      <w:pPr>
        <w:pStyle w:val="Heading2"/>
        <w:keepNext/>
      </w:pPr>
      <w:r>
        <w:t>Pasal 2. Interpretasi dan Urutan Dokumen</w:t>
      </w:r>
    </w:p>
    <w:p>
      <w:pPr>
        <w:spacing w:before="0" w:after="120"/>
      </w:pPr>
      <w:r>
        <w:rPr>
          <w:rFonts w:ascii="Calibri" w:hAnsi="Calibri" w:cs="Calibri"/>
          <w:color w:val="000000"/>
          <w:sz w:val="22"/>
        </w:rPr>
        <w:t>Judul, penomoran, dan daftar isi (jika ada) hanya digunakan untuk kemudahan membaca dan tidak memengaruhi penafsiran substansi. Apabila terjadi pertentangan antara batang tubuh Perjanjian dan lampiran, ketentuan batang tubuh berlaku kecuali lampiran menyatakan secara tegas bahwa ia mengesampingkan ketentuan tertentu.</w:t>
      </w:r>
    </w:p>
    <w:p>
      <w:pPr>
        <w:spacing w:after="120"/>
      </w:pPr>
      <w:r>
        <w:rPr>
          <w:rFonts w:ascii="Calibri" w:hAnsi="Calibri" w:cs="Calibri"/>
          <w:color w:val="000000"/>
          <w:sz w:val="22"/>
        </w:rPr>
        <w:t xml:space="preserve">Para Pihak sepakat bahwa frasa </w:t>
      </w:r>
      <w:r>
        <w:rPr>
          <w:rFonts w:ascii="Calibri" w:hAnsi="Calibri" w:cs="Calibri"/>
          <w:b/>
          <w:color w:val="000000"/>
          <w:sz w:val="22"/>
        </w:rPr>
        <w:t>wajib untuk</w:t>
      </w:r>
      <w:r>
        <w:rPr>
          <w:rFonts w:ascii="Calibri" w:hAnsi="Calibri" w:cs="Calibri"/>
          <w:color w:val="000000"/>
          <w:sz w:val="22"/>
        </w:rPr>
        <w:t xml:space="preserve"> tidak boleh ditafsirkan sebagai pemberian kewenangan untuk mengubah substansi kewajiban secara sepihak.</w:t>
      </w:r>
    </w:p>
    <w:p>
      <w:pPr>
        <w:pStyle w:val="Heading1"/>
        <w:keepNext/>
      </w:pPr>
      <w:r>
        <w:t>BAB II. RUANG LINGKUP DAN LAYANAN</w:t>
      </w:r>
    </w:p>
    <w:p>
      <w:pPr>
        <w:pStyle w:val="Heading2"/>
        <w:keepNext/>
      </w:pPr>
      <w:r>
        <w:t>Pasal 3. Ruang Lingkup Layanan</w:t>
      </w:r>
    </w:p>
    <w:p>
      <w:pPr>
        <w:spacing w:before="0" w:after="120"/>
      </w:pPr>
      <w:r>
        <w:rPr>
          <w:rFonts w:ascii="Calibri" w:hAnsi="Calibri" w:cs="Calibri"/>
          <w:color w:val="000000"/>
          <w:sz w:val="22"/>
        </w:rPr>
        <w:t>Pihak Pertama menyediakan layanan pengelolaan dokumen elektronik, klasifikasi metadata, pencarian, dan dukungan analisis bahasa untuk kebutuhan internal Pihak Kedua. Layanan tidak dimaksudkan sebagai pendapat hukum dan tidak menggantikan pemeriksaan oleh penasihat hukum yang berwenang.</w:t>
      </w:r>
    </w:p>
    <w:p>
      <w:pPr>
        <w:numPr>
          <w:ilvl w:val="0"/>
          <w:numId w:val="11"/>
        </w:numPr>
        <w:spacing w:after="160" w:line="280" w:lineRule="auto"/>
        <w:ind w:left="720" w:hanging="360"/>
      </w:pPr>
      <w:r>
        <w:rPr>
          <w:rFonts w:ascii="Calibri" w:hAnsi="Calibri" w:cs="Calibri"/>
          <w:color w:val="000000"/>
          <w:sz w:val="22"/>
        </w:rPr>
        <w:t>Pihak Pertama menyiapkan ruang kerja digital, kontrol akses, pencadangan, serta pemantauan kesehatan layanan.</w:t>
      </w:r>
    </w:p>
    <w:p>
      <w:pPr>
        <w:numPr>
          <w:ilvl w:val="0"/>
          <w:numId w:val="11"/>
        </w:numPr>
        <w:spacing w:after="160" w:line="280" w:lineRule="auto"/>
        <w:ind w:left="720" w:hanging="360"/>
      </w:pPr>
      <w:r>
        <w:rPr>
          <w:rFonts w:ascii="Calibri" w:hAnsi="Calibri" w:cs="Calibri"/>
          <w:color w:val="000000"/>
          <w:sz w:val="22"/>
        </w:rPr>
        <w:t>Pihak Kedua mengunggah dokumen yang diperoleh secara sah dan memberikan instruksi pemrosesan yang tidak bertentangan dengan hukum.</w:t>
      </w:r>
    </w:p>
    <w:p>
      <w:pPr>
        <w:numPr>
          <w:ilvl w:val="0"/>
          <w:numId w:val="11"/>
        </w:numPr>
        <w:spacing w:after="160" w:line="280" w:lineRule="auto"/>
        <w:ind w:left="720" w:hanging="360"/>
      </w:pPr>
      <w:r>
        <w:rPr>
          <w:rFonts w:ascii="Calibri" w:hAnsi="Calibri" w:cs="Calibri"/>
          <w:color w:val="000000"/>
          <w:sz w:val="22"/>
        </w:rPr>
        <w:t>Setiap rekomendasi otomatis harus ditinjau manusia sebelum digunakan dalam dokumen eksternal, pemberitahuan kepada pihak lawan, atau pengambilan keputusan.</w:t>
      </w:r>
    </w:p>
    <w:p>
      <w:pPr>
        <w:spacing w:before="0" w:after="120"/>
      </w:pPr>
      <w:r>
        <w:rPr>
          <w:rFonts w:ascii="Calibri" w:hAnsi="Calibri" w:cs="Calibri"/>
          <w:color w:val="000000"/>
          <w:sz w:val="22"/>
        </w:rPr>
        <w:t>Pihak Kedua diwajibkan untuk menyampaikan Laporan Bulanan melalui Portal paling lambat tanggal 5 (lima) pada bulan berikutnya. Keterlambatan lebih dari 3 (tiga) Hari Kerja dapat memengaruhi jadwal pemrosesan, tetapi tidak secara otomatis mengubah biaya berlangganan.</w:t>
      </w:r>
    </w:p>
    <w:p>
      <w:pPr>
        <w:spacing w:before="0" w:after="120"/>
      </w:pPr>
      <w:r>
        <w:rPr>
          <w:rFonts w:ascii="Calibri" w:hAnsi="Calibri" w:cs="Calibri"/>
          <w:color w:val="000000"/>
          <w:sz w:val="22"/>
        </w:rPr>
        <w:t>Pada kondisi tertentu, Pihak Pertama dapat melakukan perubahan konfigurasi didalam Portal setelah memberikan pemberitahuan tertulis sekurang-kurangnya 7 (tujuh) hari kalender sebelumnya.</w:t>
      </w:r>
    </w:p>
    <w:p>
      <w:pPr>
        <w:pStyle w:val="Heading2"/>
        <w:keepNext/>
      </w:pPr>
      <w:r>
        <w:t>Pasal 4. Tingkat Layanan</w:t>
      </w:r>
    </w:p>
    <w:p>
      <w:pPr>
        <w:spacing w:before="0" w:after="120"/>
      </w:pPr>
      <w:r>
        <w:rPr>
          <w:rFonts w:ascii="Calibri" w:hAnsi="Calibri" w:cs="Calibri"/>
          <w:color w:val="000000"/>
          <w:sz w:val="22"/>
        </w:rPr>
        <w:t>Target layanan berikut digunakan sebagai tolok ukur operasional. Target tidak berlaku selama pemeliharaan terjadwal yang telah diberitahukan atau apabila gangguan disebabkan oleh sistem pihak ketiga di luar kendali Pihak Pertama.</w:t>
      </w:r>
    </w:p>
    <w:tbl>
      <w:tblPr>
        <w:tblW w:type="dxa" w:w="9360"/>
        <w:jc w:val="left"/>
        <w:tblLayout w:type="fixed"/>
        <w:tblLook w:firstColumn="1" w:firstRow="1" w:lastColumn="0" w:lastRow="0" w:noHBand="0" w:noVBand="1" w:val="04A0"/>
        <w:tblInd w:w="120" w:type="dxa"/>
        <w:tblBorders>
          <w:top w:val="single" w:sz="6" w:space="0" w:color="B7C2D0"/>
          <w:left w:val="single" w:sz="6" w:space="0" w:color="B7C2D0"/>
          <w:bottom w:val="single" w:sz="6" w:space="0" w:color="B7C2D0"/>
          <w:right w:val="single" w:sz="6" w:space="0" w:color="B7C2D0"/>
          <w:insideH w:val="single" w:sz="6" w:space="0" w:color="B7C2D0"/>
          <w:insideV w:val="single" w:sz="6" w:space="0" w:color="B7C2D0"/>
        </w:tblBorders>
      </w:tblPr>
      <w:tblGrid>
        <w:gridCol w:w="1350"/>
        <w:gridCol w:w="1450"/>
        <w:gridCol w:w="3300"/>
        <w:gridCol w:w="3260"/>
      </w:tblGrid>
      <w:tr>
        <w:trPr>
          <w:tblHeader w:val="true"/>
        </w:trPr>
        <w:tc>
          <w:tcPr>
            <w:tcW w:type="dxa" w:w="1350"/>
            <w:tcMar>
              <w:top w:w="80" w:type="dxa"/>
              <w:start w:w="120" w:type="dxa"/>
              <w:bottom w:w="80" w:type="dxa"/>
              <w:end w:w="120" w:type="dxa"/>
            </w:tcMar>
            <w:vAlign w:val="center"/>
            <w:shd w:fill="F2F4F7" w:val="clear"/>
          </w:tcPr>
          <w:p>
            <w:pPr>
              <w:spacing w:before="0" w:after="60" w:line="252" w:lineRule="auto"/>
            </w:pPr>
            <w:r>
              <w:rPr>
                <w:rFonts w:ascii="Calibri" w:hAnsi="Calibri" w:cs="Calibri"/>
                <w:b/>
                <w:color w:val="000000"/>
                <w:sz w:val="17"/>
              </w:rPr>
              <w:t>INDIKATOR</w:t>
            </w:r>
          </w:p>
        </w:tc>
        <w:tc>
          <w:tcPr>
            <w:tcW w:type="dxa" w:w="1450"/>
            <w:tcMar>
              <w:top w:w="80" w:type="dxa"/>
              <w:start w:w="120" w:type="dxa"/>
              <w:bottom w:w="80" w:type="dxa"/>
              <w:end w:w="120" w:type="dxa"/>
            </w:tcMar>
            <w:vAlign w:val="center"/>
            <w:shd w:fill="F2F4F7" w:val="clear"/>
          </w:tcPr>
          <w:p>
            <w:pPr>
              <w:spacing w:before="0" w:after="60" w:line="252" w:lineRule="auto"/>
            </w:pPr>
            <w:r>
              <w:rPr>
                <w:rFonts w:ascii="Calibri" w:hAnsi="Calibri" w:cs="Calibri"/>
                <w:b/>
                <w:color w:val="000000"/>
                <w:sz w:val="17"/>
              </w:rPr>
              <w:t>TARGET</w:t>
            </w:r>
          </w:p>
        </w:tc>
        <w:tc>
          <w:tcPr>
            <w:tcW w:type="dxa" w:w="3300"/>
            <w:tcMar>
              <w:top w:w="80" w:type="dxa"/>
              <w:start w:w="120" w:type="dxa"/>
              <w:bottom w:w="80" w:type="dxa"/>
              <w:end w:w="120" w:type="dxa"/>
            </w:tcMar>
            <w:vAlign w:val="center"/>
            <w:shd w:fill="F2F4F7" w:val="clear"/>
          </w:tcPr>
          <w:p>
            <w:pPr>
              <w:spacing w:before="0" w:after="60" w:line="252" w:lineRule="auto"/>
            </w:pPr>
            <w:r>
              <w:rPr>
                <w:rFonts w:ascii="Calibri" w:hAnsi="Calibri" w:cs="Calibri"/>
                <w:b/>
                <w:color w:val="000000"/>
                <w:sz w:val="17"/>
              </w:rPr>
              <w:t>PENGUKURAN</w:t>
            </w:r>
          </w:p>
        </w:tc>
        <w:tc>
          <w:tcPr>
            <w:tcW w:type="dxa" w:w="3260"/>
            <w:tcMar>
              <w:top w:w="80" w:type="dxa"/>
              <w:start w:w="120" w:type="dxa"/>
              <w:bottom w:w="80" w:type="dxa"/>
              <w:end w:w="120" w:type="dxa"/>
            </w:tcMar>
            <w:vAlign w:val="center"/>
            <w:shd w:fill="F2F4F7" w:val="clear"/>
          </w:tcPr>
          <w:p>
            <w:pPr>
              <w:spacing w:before="0" w:after="60" w:line="252" w:lineRule="auto"/>
            </w:pPr>
            <w:r>
              <w:rPr>
                <w:rFonts w:ascii="Calibri" w:hAnsi="Calibri" w:cs="Calibri"/>
                <w:b/>
                <w:color w:val="000000"/>
                <w:sz w:val="17"/>
              </w:rPr>
              <w:t>REMEDI AWAL</w:t>
            </w:r>
          </w:p>
        </w:tc>
      </w:tr>
      <w:tr>
        <w:tc>
          <w:tcPr>
            <w:tcW w:type="dxa" w:w="1350"/>
            <w:tcMar>
              <w:top w:w="80" w:type="dxa"/>
              <w:start w:w="120" w:type="dxa"/>
              <w:bottom w:w="80" w:type="dxa"/>
              <w:end w:w="120" w:type="dxa"/>
            </w:tcMar>
            <w:vAlign w:val="center"/>
          </w:tcPr>
          <w:p>
            <w:pPr>
              <w:spacing w:before="0" w:after="60" w:line="252" w:lineRule="auto"/>
            </w:pPr>
            <w:r>
              <w:rPr>
                <w:rFonts w:ascii="Calibri" w:hAnsi="Calibri" w:cs="Calibri"/>
                <w:b w:val="0"/>
                <w:color w:val="000000"/>
                <w:sz w:val="17"/>
              </w:rPr>
              <w:t>Ketersediaan</w:t>
            </w:r>
          </w:p>
        </w:tc>
        <w:tc>
          <w:tcPr>
            <w:tcW w:type="dxa" w:w="1450"/>
            <w:tcMar>
              <w:top w:w="80" w:type="dxa"/>
              <w:start w:w="120" w:type="dxa"/>
              <w:bottom w:w="80" w:type="dxa"/>
              <w:end w:w="120" w:type="dxa"/>
            </w:tcMar>
            <w:vAlign w:val="center"/>
          </w:tcPr>
          <w:p>
            <w:pPr>
              <w:spacing w:before="0" w:after="60" w:line="252" w:lineRule="auto"/>
            </w:pPr>
            <w:r>
              <w:rPr>
                <w:rFonts w:ascii="Calibri" w:hAnsi="Calibri" w:cs="Calibri"/>
                <w:b w:val="0"/>
                <w:color w:val="000000"/>
                <w:sz w:val="17"/>
              </w:rPr>
              <w:t>99,5% / bulan</w:t>
            </w:r>
          </w:p>
        </w:tc>
        <w:tc>
          <w:tcPr>
            <w:tcW w:type="dxa" w:w="3300"/>
            <w:tcMar>
              <w:top w:w="80" w:type="dxa"/>
              <w:start w:w="120" w:type="dxa"/>
              <w:bottom w:w="80" w:type="dxa"/>
              <w:end w:w="120" w:type="dxa"/>
            </w:tcMar>
            <w:vAlign w:val="center"/>
          </w:tcPr>
          <w:p>
            <w:pPr>
              <w:spacing w:before="0" w:after="60" w:line="252" w:lineRule="auto"/>
            </w:pPr>
            <w:r>
              <w:rPr>
                <w:rFonts w:ascii="Calibri" w:hAnsi="Calibri" w:cs="Calibri"/>
                <w:b w:val="0"/>
                <w:color w:val="000000"/>
                <w:sz w:val="17"/>
              </w:rPr>
              <w:t>Rasio waktu layanan aktif terhadap total menit kalender, tidak termasuk pemeliharaan terjadwal.</w:t>
            </w:r>
          </w:p>
        </w:tc>
        <w:tc>
          <w:tcPr>
            <w:tcW w:type="dxa" w:w="3260"/>
            <w:tcMar>
              <w:top w:w="80" w:type="dxa"/>
              <w:start w:w="120" w:type="dxa"/>
              <w:bottom w:w="80" w:type="dxa"/>
              <w:end w:w="120" w:type="dxa"/>
            </w:tcMar>
            <w:vAlign w:val="center"/>
          </w:tcPr>
          <w:p>
            <w:pPr>
              <w:spacing w:before="0" w:after="60" w:line="252" w:lineRule="auto"/>
            </w:pPr>
            <w:r>
              <w:rPr>
                <w:rFonts w:ascii="Calibri" w:hAnsi="Calibri" w:cs="Calibri"/>
                <w:b w:val="0"/>
                <w:color w:val="000000"/>
                <w:sz w:val="17"/>
              </w:rPr>
              <w:t>Kredit layanan 5% dari biaya bulanan setelah verifikasi log.</w:t>
            </w:r>
          </w:p>
        </w:tc>
      </w:tr>
      <w:tr>
        <w:tc>
          <w:tcPr>
            <w:tcW w:type="dxa" w:w="1350"/>
            <w:tcMar>
              <w:top w:w="80" w:type="dxa"/>
              <w:start w:w="120" w:type="dxa"/>
              <w:bottom w:w="80" w:type="dxa"/>
              <w:end w:w="120" w:type="dxa"/>
            </w:tcMar>
            <w:vAlign w:val="center"/>
          </w:tcPr>
          <w:p>
            <w:pPr>
              <w:spacing w:before="0" w:after="60" w:line="252" w:lineRule="auto"/>
            </w:pPr>
            <w:r>
              <w:rPr>
                <w:rFonts w:ascii="Calibri" w:hAnsi="Calibri" w:cs="Calibri"/>
                <w:b w:val="0"/>
                <w:color w:val="000000"/>
                <w:sz w:val="17"/>
              </w:rPr>
              <w:t>Respons insiden</w:t>
            </w:r>
          </w:p>
        </w:tc>
        <w:tc>
          <w:tcPr>
            <w:tcW w:type="dxa" w:w="1450"/>
            <w:tcMar>
              <w:top w:w="80" w:type="dxa"/>
              <w:start w:w="120" w:type="dxa"/>
              <w:bottom w:w="80" w:type="dxa"/>
              <w:end w:w="120" w:type="dxa"/>
            </w:tcMar>
            <w:vAlign w:val="center"/>
          </w:tcPr>
          <w:p>
            <w:pPr>
              <w:spacing w:before="0" w:after="60" w:line="252" w:lineRule="auto"/>
            </w:pPr>
            <w:r>
              <w:rPr>
                <w:rFonts w:ascii="Calibri" w:hAnsi="Calibri" w:cs="Calibri"/>
                <w:b w:val="0"/>
                <w:color w:val="000000"/>
                <w:sz w:val="17"/>
              </w:rPr>
              <w:t>≤ 30 menit</w:t>
            </w:r>
          </w:p>
        </w:tc>
        <w:tc>
          <w:tcPr>
            <w:tcW w:type="dxa" w:w="3300"/>
            <w:tcMar>
              <w:top w:w="80" w:type="dxa"/>
              <w:start w:w="120" w:type="dxa"/>
              <w:bottom w:w="80" w:type="dxa"/>
              <w:end w:w="120" w:type="dxa"/>
            </w:tcMar>
            <w:vAlign w:val="center"/>
          </w:tcPr>
          <w:p>
            <w:pPr>
              <w:spacing w:before="0" w:after="60" w:line="252" w:lineRule="auto"/>
            </w:pPr>
            <w:r>
              <w:rPr>
                <w:rFonts w:ascii="Calibri" w:hAnsi="Calibri" w:cs="Calibri"/>
                <w:b w:val="0"/>
                <w:color w:val="000000"/>
                <w:sz w:val="17"/>
              </w:rPr>
              <w:t>Waktu sejak tiket prioritas P1 diterima sampai ada pemberitahuan awal kepada Pihak Kedua.</w:t>
            </w:r>
          </w:p>
        </w:tc>
        <w:tc>
          <w:tcPr>
            <w:tcW w:type="dxa" w:w="3260"/>
            <w:tcMar>
              <w:top w:w="80" w:type="dxa"/>
              <w:start w:w="120" w:type="dxa"/>
              <w:bottom w:w="80" w:type="dxa"/>
              <w:end w:w="120" w:type="dxa"/>
            </w:tcMar>
            <w:vAlign w:val="center"/>
          </w:tcPr>
          <w:p>
            <w:pPr>
              <w:spacing w:before="0" w:after="60" w:line="252" w:lineRule="auto"/>
            </w:pPr>
            <w:r>
              <w:rPr>
                <w:rFonts w:ascii="Calibri" w:hAnsi="Calibri" w:cs="Calibri"/>
                <w:b w:val="0"/>
                <w:color w:val="000000"/>
                <w:sz w:val="17"/>
              </w:rPr>
              <w:t>Pembaruan status setiap 60 menit dan post-incident review.</w:t>
            </w:r>
          </w:p>
        </w:tc>
      </w:tr>
      <w:tr>
        <w:tc>
          <w:tcPr>
            <w:tcW w:type="dxa" w:w="1350"/>
            <w:tcMar>
              <w:top w:w="80" w:type="dxa"/>
              <w:start w:w="120" w:type="dxa"/>
              <w:bottom w:w="80" w:type="dxa"/>
              <w:end w:w="120" w:type="dxa"/>
            </w:tcMar>
            <w:vAlign w:val="center"/>
          </w:tcPr>
          <w:p>
            <w:pPr>
              <w:spacing w:before="0" w:after="60" w:line="252" w:lineRule="auto"/>
            </w:pPr>
            <w:r>
              <w:rPr>
                <w:rFonts w:ascii="Calibri" w:hAnsi="Calibri" w:cs="Calibri"/>
                <w:b w:val="0"/>
                <w:color w:val="000000"/>
                <w:sz w:val="17"/>
              </w:rPr>
              <w:t>Pemulihan</w:t>
            </w:r>
          </w:p>
        </w:tc>
        <w:tc>
          <w:tcPr>
            <w:tcW w:type="dxa" w:w="1450"/>
            <w:tcMar>
              <w:top w:w="80" w:type="dxa"/>
              <w:start w:w="120" w:type="dxa"/>
              <w:bottom w:w="80" w:type="dxa"/>
              <w:end w:w="120" w:type="dxa"/>
            </w:tcMar>
            <w:vAlign w:val="center"/>
          </w:tcPr>
          <w:p>
            <w:pPr>
              <w:spacing w:before="0" w:after="60" w:line="252" w:lineRule="auto"/>
            </w:pPr>
            <w:r>
              <w:rPr>
                <w:rFonts w:ascii="Calibri" w:hAnsi="Calibri" w:cs="Calibri"/>
                <w:b w:val="0"/>
                <w:color w:val="000000"/>
                <w:sz w:val="17"/>
              </w:rPr>
              <w:t>≤ 4 jam</w:t>
            </w:r>
          </w:p>
        </w:tc>
        <w:tc>
          <w:tcPr>
            <w:tcW w:type="dxa" w:w="3300"/>
            <w:tcMar>
              <w:top w:w="80" w:type="dxa"/>
              <w:start w:w="120" w:type="dxa"/>
              <w:bottom w:w="80" w:type="dxa"/>
              <w:end w:w="120" w:type="dxa"/>
            </w:tcMar>
            <w:vAlign w:val="center"/>
          </w:tcPr>
          <w:p>
            <w:pPr>
              <w:spacing w:before="0" w:after="60" w:line="252" w:lineRule="auto"/>
            </w:pPr>
            <w:r>
              <w:rPr>
                <w:rFonts w:ascii="Calibri" w:hAnsi="Calibri" w:cs="Calibri"/>
                <w:b w:val="0"/>
                <w:color w:val="000000"/>
                <w:sz w:val="17"/>
              </w:rPr>
              <w:t>Waktu pemulihan fungsi utama sejak insiden P1 dikonfirmasi oleh petugas piket.</w:t>
            </w:r>
          </w:p>
        </w:tc>
        <w:tc>
          <w:tcPr>
            <w:tcW w:type="dxa" w:w="3260"/>
            <w:tcMar>
              <w:top w:w="80" w:type="dxa"/>
              <w:start w:w="120" w:type="dxa"/>
              <w:bottom w:w="80" w:type="dxa"/>
              <w:end w:w="120" w:type="dxa"/>
            </w:tcMar>
            <w:vAlign w:val="center"/>
          </w:tcPr>
          <w:p>
            <w:pPr>
              <w:spacing w:before="0" w:after="60" w:line="252" w:lineRule="auto"/>
            </w:pPr>
            <w:r>
              <w:rPr>
                <w:rFonts w:ascii="Calibri" w:hAnsi="Calibri" w:cs="Calibri"/>
                <w:b w:val="0"/>
                <w:color w:val="000000"/>
                <w:sz w:val="17"/>
              </w:rPr>
              <w:t>Rencana workaround dan eskalasi ke pejabat berwenang.</w:t>
            </w:r>
          </w:p>
        </w:tc>
      </w:tr>
    </w:tbl>
    <w:p>
      <w:pPr>
        <w:spacing w:before="120" w:after="120"/>
      </w:pPr>
      <w:r>
        <w:rPr>
          <w:rFonts w:ascii="Calibri" w:hAnsi="Calibri" w:cs="Calibri"/>
          <w:color w:val="000000"/>
          <w:sz w:val="22"/>
        </w:rPr>
        <w:t>Permohonan kredit layanan harus diajukan secara tertulis paling lambat 10 (sepuluh) Hari Kerja setelah laporan bulanan tersedia. Tidak diajukannya permohonan dalam tenggat tersebut tidak menghapus hak Pihak Kedua untuk meminta penjelasan insiden.</w:t>
      </w:r>
    </w:p>
    <w:p>
      <w:pPr>
        <w:pStyle w:val="Heading1"/>
        <w:keepNext/>
      </w:pPr>
      <w:r>
        <w:t>BAB III. HAK, KEWAJIBAN, DAN PEMBAYARAN</w:t>
      </w:r>
    </w:p>
    <w:p>
      <w:pPr>
        <w:pStyle w:val="Heading2"/>
        <w:keepNext/>
      </w:pPr>
      <w:r>
        <w:t>Pasal 5. Hak dan Kewajiban Para Pihak</w:t>
      </w:r>
    </w:p>
    <w:p>
      <w:pPr>
        <w:spacing w:before="0" w:after="120"/>
      </w:pPr>
      <w:r>
        <w:rPr>
          <w:rFonts w:ascii="Calibri" w:hAnsi="Calibri" w:cs="Calibri"/>
          <w:color w:val="000000"/>
          <w:sz w:val="22"/>
        </w:rPr>
        <w:t>Masing-masing pihak wajib bertindak dengan itikad baik, menjaga keamanan kredensial, dan menginformasikan perubahan narahubung. Tidak satu pun ketentuan dalam Perjanjian ini dapat dianggap sebagai hubungan kerja, kemitraan, agen, atau usaha patungan kecuali dinyatakan secara tertulis.</w:t>
      </w:r>
    </w:p>
    <w:p>
      <w:pPr>
        <w:numPr>
          <w:ilvl w:val="0"/>
          <w:numId w:val="11"/>
        </w:numPr>
        <w:spacing w:after="160" w:line="280" w:lineRule="auto"/>
        <w:ind w:left="720" w:hanging="360"/>
      </w:pPr>
      <w:r>
        <w:rPr>
          <w:rFonts w:ascii="Calibri" w:hAnsi="Calibri" w:cs="Calibri"/>
          <w:color w:val="000000"/>
          <w:sz w:val="22"/>
        </w:rPr>
        <w:t>Pihak Pertama berhak menolak instruksi yang secara wajar diduga melanggar hukum, hak pihak ketiga, atau kebijakan keamanan yang disepakati.</w:t>
      </w:r>
    </w:p>
    <w:p>
      <w:pPr>
        <w:numPr>
          <w:ilvl w:val="0"/>
          <w:numId w:val="11"/>
        </w:numPr>
        <w:spacing w:after="160" w:line="280" w:lineRule="auto"/>
        <w:ind w:left="720" w:hanging="360"/>
      </w:pPr>
      <w:r>
        <w:rPr>
          <w:rFonts w:ascii="Calibri" w:hAnsi="Calibri" w:cs="Calibri"/>
          <w:color w:val="000000"/>
          <w:sz w:val="22"/>
        </w:rPr>
        <w:t>Pihak Pertama wajib menyediakan catatan audit yang relevan untuk pemeriksaan insiden, sepanjang tidak membuka Informasi Rahasia pihak lain.</w:t>
      </w:r>
    </w:p>
    <w:p>
      <w:pPr>
        <w:numPr>
          <w:ilvl w:val="0"/>
          <w:numId w:val="11"/>
        </w:numPr>
        <w:spacing w:after="160" w:line="280" w:lineRule="auto"/>
        <w:ind w:left="720" w:hanging="360"/>
      </w:pPr>
      <w:r>
        <w:rPr>
          <w:rFonts w:ascii="Calibri" w:hAnsi="Calibri" w:cs="Calibri"/>
          <w:color w:val="000000"/>
          <w:sz w:val="22"/>
        </w:rPr>
        <w:t>Pihak Kedua berhak menerima laporan kinerja, meminta koreksi data, dan memperoleh salinan dokumen miliknya selama kewajiban pembayaran telah dipenuhi.</w:t>
      </w:r>
    </w:p>
    <w:p>
      <w:pPr>
        <w:numPr>
          <w:ilvl w:val="0"/>
          <w:numId w:val="11"/>
        </w:numPr>
        <w:spacing w:after="160" w:line="280" w:lineRule="auto"/>
        <w:ind w:left="720" w:hanging="360"/>
      </w:pPr>
      <w:r>
        <w:rPr>
          <w:rFonts w:ascii="Calibri" w:hAnsi="Calibri" w:cs="Calibri"/>
          <w:color w:val="000000"/>
          <w:sz w:val="22"/>
        </w:rPr>
        <w:t>Pihak Kedua wajib memastikan bahwa setiap pengguna internal memperoleh ijin yang sesuai sebelum mengakses dokumen atau Data Pribadi.</w:t>
      </w:r>
    </w:p>
    <w:p>
      <w:pPr>
        <w:pStyle w:val="Heading2"/>
        <w:keepNext/>
      </w:pPr>
      <w:r>
        <w:t>Pasal 6. Biaya, Pajak, dan Penagihan</w:t>
      </w:r>
    </w:p>
    <w:p>
      <w:pPr>
        <w:spacing w:after="120"/>
      </w:pPr>
      <w:r>
        <w:rPr>
          <w:rFonts w:ascii="Calibri" w:hAnsi="Calibri" w:cs="Calibri"/>
          <w:color w:val="000000"/>
          <w:sz w:val="22"/>
        </w:rPr>
        <w:t xml:space="preserve">Biaya berlangganan tetap sebesar </w:t>
      </w:r>
      <w:r>
        <w:rPr>
          <w:rFonts w:ascii="Calibri" w:hAnsi="Calibri" w:cs="Calibri"/>
          <w:b/>
          <w:color w:val="000000"/>
          <w:sz w:val="22"/>
        </w:rPr>
        <w:t>Rp150.000.000 (seratus lima puluh juta rupiah)</w:t>
      </w:r>
      <w:r>
        <w:rPr>
          <w:rFonts w:ascii="Calibri" w:hAnsi="Calibri" w:cs="Calibri"/>
          <w:color w:val="000000"/>
          <w:sz w:val="22"/>
        </w:rPr>
        <w:t xml:space="preserve"> per tahun, belum termasuk pajak pertambahan nilai dan pungutan lain yang diwajibkan oleh hukum. Invoice diterbitkan pada tanggal </w:t>
      </w:r>
      <w:r>
        <w:rPr>
          <w:rFonts w:ascii="Calibri" w:hAnsi="Calibri" w:cs="Calibri"/>
          <w:b/>
          <w:color w:val="000000"/>
          <w:sz w:val="22"/>
        </w:rPr>
        <w:t>1 September 2026</w:t>
      </w:r>
      <w:r>
        <w:rPr>
          <w:rFonts w:ascii="Calibri" w:hAnsi="Calibri" w:cs="Calibri"/>
          <w:color w:val="000000"/>
          <w:sz w:val="22"/>
        </w:rPr>
        <w:t xml:space="preserve"> dan harus dibayar paling lambat 30 (tiga puluh) Hari Kalender sejak tanggal invoice.</w:t>
      </w:r>
    </w:p>
    <w:p>
      <w:pPr>
        <w:spacing w:before="0" w:after="120"/>
      </w:pPr>
      <w:r>
        <w:rPr>
          <w:rFonts w:ascii="Calibri" w:hAnsi="Calibri" w:cs="Calibri"/>
          <w:color w:val="000000"/>
          <w:sz w:val="22"/>
        </w:rPr>
        <w:t>Apabila pembayaran terlambat, Pihak Pertama dapat mengenakan denda sebesar 0,1% (nol koma satu persen) per hari dari jumlah terutang, dengan batas maksimum 5% (lima persen). Denda tidak berlaku apabila keterlambatan terjadi karena kesalahan administratif Pihak Pertama yang telah dibuktikan.</w:t>
      </w:r>
    </w:p>
    <w:p>
      <w:pPr>
        <w:spacing w:before="0" w:after="120"/>
      </w:pPr>
      <w:r>
        <w:rPr>
          <w:rFonts w:ascii="Calibri" w:hAnsi="Calibri" w:cs="Calibri"/>
          <w:color w:val="000000"/>
          <w:sz w:val="22"/>
        </w:rPr>
        <w:t>Pihak Kedua tidak boleh menahan atau memotong pembayaran berdasarkan klaim yang belum disepakati secara tertulis. Hak untuk mengajukan keberatan atas invoice tetap tersedia selama keberatan disampaikan dalam 10 (sepuluh) Hari Kerja.</w:t>
      </w:r>
    </w:p>
    <w:p>
      <w:pPr>
        <w:pStyle w:val="Heading1"/>
        <w:keepNext/>
      </w:pPr>
      <w:r>
        <w:t>BAB IV. DATA PRIBADI, KERAHASIAAN, DAN HAK KEKAYAAN INTELEKTUAL</w:t>
      </w:r>
    </w:p>
    <w:p>
      <w:pPr>
        <w:pStyle w:val="Heading2"/>
        <w:keepNext/>
      </w:pPr>
      <w:r>
        <w:t>Pasal 7. Pemrosesan Data Pribadi</w:t>
      </w:r>
    </w:p>
    <w:p>
      <w:pPr>
        <w:spacing w:before="0" w:after="120"/>
      </w:pPr>
      <w:r>
        <w:rPr>
          <w:rFonts w:ascii="Calibri" w:hAnsi="Calibri" w:cs="Calibri"/>
          <w:color w:val="000000"/>
          <w:sz w:val="22"/>
        </w:rPr>
        <w:t>Dalam pelaksanaan layanan, Pihak Pertama dapat memproses Data Pribadi atas instruksi terdokumentasi dari Pihak Kedua. Para Pihak wajib menerapkan prinsip pembatasan tujuan, minimisasi data, akurasi, keamanan, dan akuntabilitas sesuai peran masing-masing.</w:t>
      </w:r>
    </w:p>
    <w:tbl>
      <w:tblPr>
        <w:tblW w:type="dxa" w:w="9360"/>
        <w:jc w:val="left"/>
        <w:tblLayout w:type="fixed"/>
        <w:tblLook w:firstColumn="1" w:firstRow="1" w:lastColumn="0" w:lastRow="0" w:noHBand="0" w:noVBand="1" w:val="04A0"/>
        <w:tblInd w:w="120" w:type="dxa"/>
        <w:tblBorders>
          <w:top w:val="single" w:sz="6" w:space="0" w:color="B7C2D0"/>
          <w:left w:val="single" w:sz="6" w:space="0" w:color="B7C2D0"/>
          <w:bottom w:val="single" w:sz="6" w:space="0" w:color="B7C2D0"/>
          <w:right w:val="single" w:sz="6" w:space="0" w:color="B7C2D0"/>
          <w:insideH w:val="single" w:sz="6" w:space="0" w:color="B7C2D0"/>
          <w:insideV w:val="single" w:sz="6" w:space="0" w:color="B7C2D0"/>
        </w:tblBorders>
      </w:tblPr>
      <w:tblGrid>
        <w:gridCol w:w="1500"/>
        <w:gridCol w:w="2700"/>
        <w:gridCol w:w="1560"/>
        <w:gridCol w:w="3600"/>
      </w:tblGrid>
      <w:tr>
        <w:trPr>
          <w:tblHeader w:val="true"/>
        </w:trPr>
        <w:tc>
          <w:tcPr>
            <w:tcW w:type="dxa" w:w="1500"/>
            <w:tcMar>
              <w:top w:w="80" w:type="dxa"/>
              <w:start w:w="120" w:type="dxa"/>
              <w:bottom w:w="80" w:type="dxa"/>
              <w:end w:w="120" w:type="dxa"/>
            </w:tcMar>
            <w:vAlign w:val="center"/>
            <w:shd w:fill="F2F4F7" w:val="clear"/>
          </w:tcPr>
          <w:p>
            <w:pPr>
              <w:spacing w:before="0" w:after="60" w:line="252" w:lineRule="auto"/>
            </w:pPr>
            <w:r>
              <w:rPr>
                <w:rFonts w:ascii="Calibri" w:hAnsi="Calibri" w:cs="Calibri"/>
                <w:b/>
                <w:color w:val="000000"/>
                <w:sz w:val="17"/>
              </w:rPr>
              <w:t>KATEGORI</w:t>
            </w:r>
          </w:p>
        </w:tc>
        <w:tc>
          <w:tcPr>
            <w:tcW w:type="dxa" w:w="2700"/>
            <w:tcMar>
              <w:top w:w="80" w:type="dxa"/>
              <w:start w:w="120" w:type="dxa"/>
              <w:bottom w:w="80" w:type="dxa"/>
              <w:end w:w="120" w:type="dxa"/>
            </w:tcMar>
            <w:vAlign w:val="center"/>
            <w:shd w:fill="F2F4F7" w:val="clear"/>
          </w:tcPr>
          <w:p>
            <w:pPr>
              <w:spacing w:before="0" w:after="60" w:line="252" w:lineRule="auto"/>
            </w:pPr>
            <w:r>
              <w:rPr>
                <w:rFonts w:ascii="Calibri" w:hAnsi="Calibri" w:cs="Calibri"/>
                <w:b/>
                <w:color w:val="000000"/>
                <w:sz w:val="17"/>
              </w:rPr>
              <w:t>CONTOH DATA</w:t>
            </w:r>
          </w:p>
        </w:tc>
        <w:tc>
          <w:tcPr>
            <w:tcW w:type="dxa" w:w="1560"/>
            <w:tcMar>
              <w:top w:w="80" w:type="dxa"/>
              <w:start w:w="120" w:type="dxa"/>
              <w:bottom w:w="80" w:type="dxa"/>
              <w:end w:w="120" w:type="dxa"/>
            </w:tcMar>
            <w:vAlign w:val="center"/>
            <w:shd w:fill="F2F4F7" w:val="clear"/>
          </w:tcPr>
          <w:p>
            <w:pPr>
              <w:spacing w:before="0" w:after="60" w:line="252" w:lineRule="auto"/>
            </w:pPr>
            <w:r>
              <w:rPr>
                <w:rFonts w:ascii="Calibri" w:hAnsi="Calibri" w:cs="Calibri"/>
                <w:b/>
                <w:color w:val="000000"/>
                <w:sz w:val="17"/>
              </w:rPr>
              <w:t>RETENSI</w:t>
            </w:r>
          </w:p>
        </w:tc>
        <w:tc>
          <w:tcPr>
            <w:tcW w:type="dxa" w:w="3600"/>
            <w:tcMar>
              <w:top w:w="80" w:type="dxa"/>
              <w:start w:w="120" w:type="dxa"/>
              <w:bottom w:w="80" w:type="dxa"/>
              <w:end w:w="120" w:type="dxa"/>
            </w:tcMar>
            <w:vAlign w:val="center"/>
            <w:shd w:fill="F2F4F7" w:val="clear"/>
          </w:tcPr>
          <w:p>
            <w:pPr>
              <w:spacing w:before="0" w:after="60" w:line="252" w:lineRule="auto"/>
            </w:pPr>
            <w:r>
              <w:rPr>
                <w:rFonts w:ascii="Calibri" w:hAnsi="Calibri" w:cs="Calibri"/>
                <w:b/>
                <w:color w:val="000000"/>
                <w:sz w:val="17"/>
              </w:rPr>
              <w:t>KONTROL MINIMUM</w:t>
            </w:r>
          </w:p>
        </w:tc>
      </w:tr>
      <w:tr>
        <w:tc>
          <w:tcPr>
            <w:tcW w:type="dxa" w:w="1500"/>
            <w:tcMar>
              <w:top w:w="80" w:type="dxa"/>
              <w:start w:w="120" w:type="dxa"/>
              <w:bottom w:w="80" w:type="dxa"/>
              <w:end w:w="120" w:type="dxa"/>
            </w:tcMar>
            <w:vAlign w:val="center"/>
          </w:tcPr>
          <w:p>
            <w:pPr>
              <w:spacing w:before="0" w:after="60" w:line="252" w:lineRule="auto"/>
            </w:pPr>
            <w:r>
              <w:rPr>
                <w:rFonts w:ascii="Calibri" w:hAnsi="Calibri" w:cs="Calibri"/>
                <w:b w:val="0"/>
                <w:color w:val="000000"/>
                <w:sz w:val="17"/>
              </w:rPr>
              <w:t>Identitas</w:t>
            </w:r>
          </w:p>
        </w:tc>
        <w:tc>
          <w:tcPr>
            <w:tcW w:type="dxa" w:w="2700"/>
            <w:tcMar>
              <w:top w:w="80" w:type="dxa"/>
              <w:start w:w="120" w:type="dxa"/>
              <w:bottom w:w="80" w:type="dxa"/>
              <w:end w:w="120" w:type="dxa"/>
            </w:tcMar>
            <w:vAlign w:val="center"/>
          </w:tcPr>
          <w:p>
            <w:pPr>
              <w:spacing w:before="0" w:after="60" w:line="252" w:lineRule="auto"/>
            </w:pPr>
            <w:r>
              <w:rPr>
                <w:rFonts w:ascii="Calibri" w:hAnsi="Calibri" w:cs="Calibri"/>
                <w:b w:val="0"/>
                <w:color w:val="000000"/>
                <w:sz w:val="17"/>
              </w:rPr>
              <w:t>Nama, alamat, nomor identitas yang disamarkan</w:t>
            </w:r>
          </w:p>
        </w:tc>
        <w:tc>
          <w:tcPr>
            <w:tcW w:type="dxa" w:w="1560"/>
            <w:tcMar>
              <w:top w:w="80" w:type="dxa"/>
              <w:start w:w="120" w:type="dxa"/>
              <w:bottom w:w="80" w:type="dxa"/>
              <w:end w:w="120" w:type="dxa"/>
            </w:tcMar>
            <w:vAlign w:val="center"/>
          </w:tcPr>
          <w:p>
            <w:pPr>
              <w:spacing w:before="0" w:after="60" w:line="252" w:lineRule="auto"/>
            </w:pPr>
            <w:r>
              <w:rPr>
                <w:rFonts w:ascii="Calibri" w:hAnsi="Calibri" w:cs="Calibri"/>
                <w:b w:val="0"/>
                <w:color w:val="000000"/>
                <w:sz w:val="17"/>
              </w:rPr>
              <w:t>24 bulan</w:t>
            </w:r>
          </w:p>
        </w:tc>
        <w:tc>
          <w:tcPr>
            <w:tcW w:type="dxa" w:w="3600"/>
            <w:tcMar>
              <w:top w:w="80" w:type="dxa"/>
              <w:start w:w="120" w:type="dxa"/>
              <w:bottom w:w="80" w:type="dxa"/>
              <w:end w:w="120" w:type="dxa"/>
            </w:tcMar>
            <w:vAlign w:val="center"/>
          </w:tcPr>
          <w:p>
            <w:pPr>
              <w:spacing w:before="0" w:after="60" w:line="252" w:lineRule="auto"/>
            </w:pPr>
            <w:r>
              <w:rPr>
                <w:rFonts w:ascii="Calibri" w:hAnsi="Calibri" w:cs="Calibri"/>
                <w:b w:val="0"/>
                <w:color w:val="000000"/>
                <w:sz w:val="17"/>
              </w:rPr>
              <w:t>Enkripsi saat transit dan saat tersimpan; akses berbasis peran.</w:t>
            </w:r>
          </w:p>
        </w:tc>
      </w:tr>
      <w:tr>
        <w:tc>
          <w:tcPr>
            <w:tcW w:type="dxa" w:w="1500"/>
            <w:tcMar>
              <w:top w:w="80" w:type="dxa"/>
              <w:start w:w="120" w:type="dxa"/>
              <w:bottom w:w="80" w:type="dxa"/>
              <w:end w:w="120" w:type="dxa"/>
            </w:tcMar>
            <w:vAlign w:val="center"/>
          </w:tcPr>
          <w:p>
            <w:pPr>
              <w:spacing w:before="0" w:after="60" w:line="252" w:lineRule="auto"/>
            </w:pPr>
            <w:r>
              <w:rPr>
                <w:rFonts w:ascii="Calibri" w:hAnsi="Calibri" w:cs="Calibri"/>
                <w:b w:val="0"/>
                <w:color w:val="000000"/>
                <w:sz w:val="17"/>
              </w:rPr>
              <w:t>Kontak</w:t>
            </w:r>
          </w:p>
        </w:tc>
        <w:tc>
          <w:tcPr>
            <w:tcW w:type="dxa" w:w="2700"/>
            <w:tcMar>
              <w:top w:w="80" w:type="dxa"/>
              <w:start w:w="120" w:type="dxa"/>
              <w:bottom w:w="80" w:type="dxa"/>
              <w:end w:w="120" w:type="dxa"/>
            </w:tcMar>
            <w:vAlign w:val="center"/>
          </w:tcPr>
          <w:p>
            <w:pPr>
              <w:spacing w:before="0" w:after="60" w:line="252" w:lineRule="auto"/>
            </w:pPr>
            <w:r>
              <w:rPr>
                <w:rFonts w:ascii="Calibri" w:hAnsi="Calibri" w:cs="Calibri"/>
                <w:b w:val="0"/>
                <w:color w:val="000000"/>
                <w:sz w:val="17"/>
              </w:rPr>
              <w:t>Alamat surel, nomor telepon, dan preferensi notifikasi</w:t>
            </w:r>
          </w:p>
        </w:tc>
        <w:tc>
          <w:tcPr>
            <w:tcW w:type="dxa" w:w="1560"/>
            <w:tcMar>
              <w:top w:w="80" w:type="dxa"/>
              <w:start w:w="120" w:type="dxa"/>
              <w:bottom w:w="80" w:type="dxa"/>
              <w:end w:w="120" w:type="dxa"/>
            </w:tcMar>
            <w:vAlign w:val="center"/>
          </w:tcPr>
          <w:p>
            <w:pPr>
              <w:spacing w:before="0" w:after="60" w:line="252" w:lineRule="auto"/>
            </w:pPr>
            <w:r>
              <w:rPr>
                <w:rFonts w:ascii="Calibri" w:hAnsi="Calibri" w:cs="Calibri"/>
                <w:b w:val="0"/>
                <w:color w:val="000000"/>
                <w:sz w:val="17"/>
              </w:rPr>
              <w:t>12 bulan</w:t>
            </w:r>
          </w:p>
        </w:tc>
        <w:tc>
          <w:tcPr>
            <w:tcW w:type="dxa" w:w="3600"/>
            <w:tcMar>
              <w:top w:w="80" w:type="dxa"/>
              <w:start w:w="120" w:type="dxa"/>
              <w:bottom w:w="80" w:type="dxa"/>
              <w:end w:w="120" w:type="dxa"/>
            </w:tcMar>
            <w:vAlign w:val="center"/>
          </w:tcPr>
          <w:p>
            <w:pPr>
              <w:spacing w:before="0" w:after="60" w:line="252" w:lineRule="auto"/>
            </w:pPr>
            <w:r>
              <w:rPr>
                <w:rFonts w:ascii="Calibri" w:hAnsi="Calibri" w:cs="Calibri"/>
                <w:b w:val="0"/>
                <w:color w:val="000000"/>
                <w:sz w:val="17"/>
              </w:rPr>
              <w:t>Masking pada log aplikasi; penghapusan terjadwal.</w:t>
            </w:r>
          </w:p>
        </w:tc>
      </w:tr>
      <w:tr>
        <w:tc>
          <w:tcPr>
            <w:tcW w:type="dxa" w:w="1500"/>
            <w:tcMar>
              <w:top w:w="80" w:type="dxa"/>
              <w:start w:w="120" w:type="dxa"/>
              <w:bottom w:w="80" w:type="dxa"/>
              <w:end w:w="120" w:type="dxa"/>
            </w:tcMar>
            <w:vAlign w:val="center"/>
          </w:tcPr>
          <w:p>
            <w:pPr>
              <w:spacing w:before="0" w:after="60" w:line="252" w:lineRule="auto"/>
            </w:pPr>
            <w:r>
              <w:rPr>
                <w:rFonts w:ascii="Calibri" w:hAnsi="Calibri" w:cs="Calibri"/>
                <w:b w:val="0"/>
                <w:color w:val="000000"/>
                <w:sz w:val="17"/>
              </w:rPr>
              <w:t>Audit</w:t>
            </w:r>
          </w:p>
        </w:tc>
        <w:tc>
          <w:tcPr>
            <w:tcW w:type="dxa" w:w="2700"/>
            <w:tcMar>
              <w:top w:w="80" w:type="dxa"/>
              <w:start w:w="120" w:type="dxa"/>
              <w:bottom w:w="80" w:type="dxa"/>
              <w:end w:w="120" w:type="dxa"/>
            </w:tcMar>
            <w:vAlign w:val="center"/>
          </w:tcPr>
          <w:p>
            <w:pPr>
              <w:spacing w:before="0" w:after="60" w:line="252" w:lineRule="auto"/>
            </w:pPr>
            <w:r>
              <w:rPr>
                <w:rFonts w:ascii="Calibri" w:hAnsi="Calibri" w:cs="Calibri"/>
                <w:b w:val="0"/>
                <w:color w:val="000000"/>
                <w:sz w:val="17"/>
              </w:rPr>
              <w:t>ID pengguna, waktu akses, dan alasan tindakan</w:t>
            </w:r>
          </w:p>
        </w:tc>
        <w:tc>
          <w:tcPr>
            <w:tcW w:type="dxa" w:w="1560"/>
            <w:tcMar>
              <w:top w:w="80" w:type="dxa"/>
              <w:start w:w="120" w:type="dxa"/>
              <w:bottom w:w="80" w:type="dxa"/>
              <w:end w:w="120" w:type="dxa"/>
            </w:tcMar>
            <w:vAlign w:val="center"/>
          </w:tcPr>
          <w:p>
            <w:pPr>
              <w:spacing w:before="0" w:after="60" w:line="252" w:lineRule="auto"/>
            </w:pPr>
            <w:r>
              <w:rPr>
                <w:rFonts w:ascii="Calibri" w:hAnsi="Calibri" w:cs="Calibri"/>
                <w:b w:val="0"/>
                <w:color w:val="000000"/>
                <w:sz w:val="17"/>
              </w:rPr>
              <w:t>36 bulan</w:t>
            </w:r>
          </w:p>
        </w:tc>
        <w:tc>
          <w:tcPr>
            <w:tcW w:type="dxa" w:w="3600"/>
            <w:tcMar>
              <w:top w:w="80" w:type="dxa"/>
              <w:start w:w="120" w:type="dxa"/>
              <w:bottom w:w="80" w:type="dxa"/>
              <w:end w:w="120" w:type="dxa"/>
            </w:tcMar>
            <w:vAlign w:val="center"/>
          </w:tcPr>
          <w:p>
            <w:pPr>
              <w:spacing w:before="0" w:after="60" w:line="252" w:lineRule="auto"/>
            </w:pPr>
            <w:r>
              <w:rPr>
                <w:rFonts w:ascii="Calibri" w:hAnsi="Calibri" w:cs="Calibri"/>
                <w:b w:val="0"/>
                <w:color w:val="000000"/>
                <w:sz w:val="17"/>
              </w:rPr>
              <w:t>Immutable audit trail; review akses triwulanan.</w:t>
            </w:r>
          </w:p>
        </w:tc>
      </w:tr>
      <w:tr>
        <w:tc>
          <w:tcPr>
            <w:tcW w:type="dxa" w:w="1500"/>
            <w:tcMar>
              <w:top w:w="80" w:type="dxa"/>
              <w:start w:w="120" w:type="dxa"/>
              <w:bottom w:w="80" w:type="dxa"/>
              <w:end w:w="120" w:type="dxa"/>
            </w:tcMar>
            <w:vAlign w:val="center"/>
          </w:tcPr>
          <w:p>
            <w:pPr>
              <w:spacing w:before="0" w:after="60" w:line="252" w:lineRule="auto"/>
            </w:pPr>
            <w:r>
              <w:rPr>
                <w:rFonts w:ascii="Calibri" w:hAnsi="Calibri" w:cs="Calibri"/>
                <w:b w:val="0"/>
                <w:color w:val="000000"/>
                <w:sz w:val="17"/>
              </w:rPr>
              <w:t>Dokumen</w:t>
            </w:r>
          </w:p>
        </w:tc>
        <w:tc>
          <w:tcPr>
            <w:tcW w:type="dxa" w:w="2700"/>
            <w:tcMar>
              <w:top w:w="80" w:type="dxa"/>
              <w:start w:w="120" w:type="dxa"/>
              <w:bottom w:w="80" w:type="dxa"/>
              <w:end w:w="120" w:type="dxa"/>
            </w:tcMar>
            <w:vAlign w:val="center"/>
          </w:tcPr>
          <w:p>
            <w:pPr>
              <w:spacing w:before="0" w:after="60" w:line="252" w:lineRule="auto"/>
            </w:pPr>
            <w:r>
              <w:rPr>
                <w:rFonts w:ascii="Calibri" w:hAnsi="Calibri" w:cs="Calibri"/>
                <w:b w:val="0"/>
                <w:color w:val="000000"/>
                <w:sz w:val="17"/>
              </w:rPr>
              <w:t>Kontrak, lampiran, dan metadata tanda tangan elektronik</w:t>
            </w:r>
          </w:p>
        </w:tc>
        <w:tc>
          <w:tcPr>
            <w:tcW w:type="dxa" w:w="1560"/>
            <w:tcMar>
              <w:top w:w="80" w:type="dxa"/>
              <w:start w:w="120" w:type="dxa"/>
              <w:bottom w:w="80" w:type="dxa"/>
              <w:end w:w="120" w:type="dxa"/>
            </w:tcMar>
            <w:vAlign w:val="center"/>
          </w:tcPr>
          <w:p>
            <w:pPr>
              <w:spacing w:before="0" w:after="60" w:line="252" w:lineRule="auto"/>
            </w:pPr>
            <w:r>
              <w:rPr>
                <w:rFonts w:ascii="Calibri" w:hAnsi="Calibri" w:cs="Calibri"/>
                <w:b w:val="0"/>
                <w:color w:val="000000"/>
                <w:sz w:val="17"/>
              </w:rPr>
              <w:t>Sesuai kewajiban hukum</w:t>
            </w:r>
          </w:p>
        </w:tc>
        <w:tc>
          <w:tcPr>
            <w:tcW w:type="dxa" w:w="3600"/>
            <w:tcMar>
              <w:top w:w="80" w:type="dxa"/>
              <w:start w:w="120" w:type="dxa"/>
              <w:bottom w:w="80" w:type="dxa"/>
              <w:end w:w="120" w:type="dxa"/>
            </w:tcMar>
            <w:vAlign w:val="center"/>
          </w:tcPr>
          <w:p>
            <w:pPr>
              <w:spacing w:before="0" w:after="60" w:line="252" w:lineRule="auto"/>
            </w:pPr>
            <w:r>
              <w:rPr>
                <w:rFonts w:ascii="Calibri" w:hAnsi="Calibri" w:cs="Calibri"/>
                <w:b w:val="0"/>
                <w:color w:val="000000"/>
                <w:sz w:val="17"/>
              </w:rPr>
              <w:t>Checksum, versioning, dan pembatasan download.</w:t>
            </w:r>
          </w:p>
        </w:tc>
      </w:tr>
    </w:tbl>
    <w:p>
      <w:pPr>
        <w:spacing w:before="120" w:after="120"/>
      </w:pPr>
      <w:r>
        <w:rPr>
          <w:rFonts w:ascii="Calibri" w:hAnsi="Calibri" w:cs="Calibri"/>
          <w:color w:val="000000"/>
          <w:sz w:val="22"/>
        </w:rPr>
        <w:t>Pihak Kedua bertanggung jawab memastikan dasar pemrosesan dan pemberitahuan kepada Subjek Data tersedia sebelum data dikirimkan. Pihak Pertama wajib membantu secara wajar dalam penanganan permintaan Subjek Data, insiden keamanan, serta pemeriksaan kepatuhan yang relevan.</w:t>
      </w:r>
    </w:p>
    <w:p>
      <w:pPr>
        <w:spacing w:before="0" w:after="120"/>
      </w:pPr>
      <w:r>
        <w:rPr>
          <w:rFonts w:ascii="Calibri" w:hAnsi="Calibri" w:cs="Calibri"/>
          <w:color w:val="000000"/>
          <w:sz w:val="22"/>
        </w:rPr>
        <w:t>Kata justifikasi digunakan dalam catatan internal fixture ini sebagai istilah uji. Keberadaan kata tersebut tidak berarti definisi kamus atau rekomendasi hukum tersedia di dalam sistem.</w:t>
      </w:r>
    </w:p>
    <w:p>
      <w:pPr>
        <w:pStyle w:val="Heading2"/>
        <w:keepNext/>
      </w:pPr>
      <w:r>
        <w:t>Pasal 8. Kerahasiaan</w:t>
      </w:r>
    </w:p>
    <w:p>
      <w:pPr>
        <w:spacing w:before="0" w:after="120"/>
      </w:pPr>
      <w:r>
        <w:rPr>
          <w:rFonts w:ascii="Calibri" w:hAnsi="Calibri" w:cs="Calibri"/>
          <w:color w:val="000000"/>
          <w:sz w:val="22"/>
        </w:rPr>
        <w:t>Pihak penerima wajib untuk menggunakan Informasi Rahasia hanya untuk tujuan pelaksanaan Perjanjian ini dan tidak boleh mengungkapkannya kepada pihak lain tanpa persetujuan tertulis pihak pengungkap, kecuali diwajibkan oleh putusan pengadilan atau peraturan perundang-undangan.</w:t>
      </w:r>
    </w:p>
    <w:p>
      <w:pPr>
        <w:numPr>
          <w:ilvl w:val="0"/>
          <w:numId w:val="10"/>
        </w:numPr>
        <w:spacing w:after="160" w:line="280" w:lineRule="auto"/>
        <w:ind w:left="720" w:hanging="360"/>
      </w:pPr>
      <w:r>
        <w:rPr>
          <w:rFonts w:ascii="Calibri" w:hAnsi="Calibri" w:cs="Calibri"/>
          <w:color w:val="000000"/>
          <w:sz w:val="22"/>
        </w:rPr>
        <w:t>Informasi yang telah tersedia untuk umum bukan Informasi Rahasia sepanjang tidak menjadi tersedia karena pelanggaran Perjanjian.</w:t>
      </w:r>
    </w:p>
    <w:p>
      <w:pPr>
        <w:numPr>
          <w:ilvl w:val="0"/>
          <w:numId w:val="10"/>
        </w:numPr>
        <w:spacing w:after="160" w:line="280" w:lineRule="auto"/>
        <w:ind w:left="720" w:hanging="360"/>
      </w:pPr>
      <w:r>
        <w:rPr>
          <w:rFonts w:ascii="Calibri" w:hAnsi="Calibri" w:cs="Calibri"/>
          <w:color w:val="000000"/>
          <w:sz w:val="22"/>
        </w:rPr>
        <w:t>Penerima dapat mengungkapkan Informasi Rahasia kepada karyawan, auditor, atau subkontraktor yang membutuhkan akses, dengan kewajiban kerahasiaan yang setara.</w:t>
      </w:r>
    </w:p>
    <w:p>
      <w:pPr>
        <w:numPr>
          <w:ilvl w:val="0"/>
          <w:numId w:val="10"/>
        </w:numPr>
        <w:spacing w:after="160" w:line="280" w:lineRule="auto"/>
        <w:ind w:left="720" w:hanging="360"/>
      </w:pPr>
      <w:r>
        <w:rPr>
          <w:rFonts w:ascii="Calibri" w:hAnsi="Calibri" w:cs="Calibri"/>
          <w:color w:val="000000"/>
          <w:sz w:val="22"/>
        </w:rPr>
        <w:t>Atas permintaan tertulis, penerima wajib mengembalikan atau memusnahkan salinan Informasi Rahasia, kecuali salinan yang wajib disimpan untuk tujuan audit atau kepatuhan.</w:t>
      </w:r>
    </w:p>
    <w:p>
      <w:pPr>
        <w:spacing w:before="0" w:after="120"/>
      </w:pPr>
      <w:r>
        <w:rPr>
          <w:rFonts w:ascii="Calibri" w:hAnsi="Calibri" w:cs="Calibri"/>
          <w:color w:val="000000"/>
          <w:sz w:val="22"/>
        </w:rPr>
        <w:t>Kewajiban kerahasiaan berlaku selama jangka waktu Perjanjian dan tetap berlaku selama 5 (lima) tahun setelah Perjanjian berakhir, sedangkan rahasia dagang tetap dilindungi selama informasi tersebut memenuhi kualifikasi rahasia dagang.</w:t>
      </w:r>
    </w:p>
    <w:p>
      <w:pPr>
        <w:pStyle w:val="Heading2"/>
        <w:keepNext/>
      </w:pPr>
      <w:r>
        <w:t>Pasal 9. Hak Kekayaan Intelektual</w:t>
      </w:r>
    </w:p>
    <w:p>
      <w:pPr>
        <w:spacing w:before="0" w:after="120"/>
      </w:pPr>
      <w:r>
        <w:rPr>
          <w:rFonts w:ascii="Calibri" w:hAnsi="Calibri" w:cs="Calibri"/>
          <w:color w:val="000000"/>
          <w:sz w:val="22"/>
        </w:rPr>
        <w:t>Hak atas platform, kode sumber, model, dokumentasi, dan pengembangan umum tetap menjadi milik Pihak Pertama atau pemberi lisensinya. Hak atas dokumen, data, dan materi yang diunggah oleh Pihak Kedua tetap menjadi milik Pihak Kedua atau pemegang hak yang sah.</w:t>
      </w:r>
    </w:p>
    <w:p>
      <w:pPr>
        <w:spacing w:before="0" w:after="120"/>
      </w:pPr>
      <w:r>
        <w:rPr>
          <w:rFonts w:ascii="Calibri" w:hAnsi="Calibri" w:cs="Calibri"/>
          <w:color w:val="000000"/>
          <w:sz w:val="22"/>
        </w:rPr>
        <w:t>Pihak Kedua memberikan lisensi terbatas, non-eksklusif, tidak dapat dialihkan, dan bebas royalti kepada Pihak Pertama semata-mata untuk menyimpan, memproses, mencadangkan, dan menampilkan materi sesuai instruksi layanan.</w:t>
      </w:r>
    </w:p>
    <w:p>
      <w:pPr>
        <w:pStyle w:val="Heading1"/>
        <w:keepNext/>
      </w:pPr>
      <w:r>
        <w:t>BAB V. WANPRESTASI, KEADAAN KAHAR, DAN PENYELESAIAN SENGKETA</w:t>
      </w:r>
    </w:p>
    <w:p>
      <w:pPr>
        <w:pStyle w:val="Heading2"/>
        <w:keepNext/>
      </w:pPr>
      <w:r>
        <w:t>Pasal 10. Wanprestasi dan Tindakan Perbaikan</w:t>
      </w:r>
    </w:p>
    <w:p>
      <w:pPr>
        <w:spacing w:before="0" w:after="120"/>
      </w:pPr>
      <w:r>
        <w:rPr>
          <w:rFonts w:ascii="Calibri" w:hAnsi="Calibri" w:cs="Calibri"/>
          <w:color w:val="000000"/>
          <w:sz w:val="22"/>
        </w:rPr>
        <w:t>Kegagalan material untuk memenuhi kewajiban yang tidak diperbaiki dalam 14 (empat belas) hari kalender sejak pemberitahuan tertulis dapat dianggap sebagai wanprestasi. Untuk pelanggaran keamanan atau kerahasiaan yang bersifat serius, pihak yang dirugikan dapat meminta tindakan perbaikan segera dan melakukan eskalasi tanpa menunggu berakhirnya tenggat tersebut.</w:t>
      </w:r>
    </w:p>
    <w:p>
      <w:pPr>
        <w:spacing w:before="0" w:after="120"/>
      </w:pPr>
      <w:r>
        <w:rPr>
          <w:rFonts w:ascii="Calibri" w:hAnsi="Calibri" w:cs="Calibri"/>
          <w:color w:val="000000"/>
          <w:sz w:val="22"/>
        </w:rPr>
        <w:t>Pemberitahuan pelanggaran harus menjelaskan fakta yang diketahui, ketentuan yang diduga dilanggar, dampak sementara, dan langkah mitigasi yang telah dilakukan. Para Pihak wajib berkoordinasi untuk membatasi kerugian yang dapat diperkirakan secara wajar.</w:t>
      </w:r>
    </w:p>
    <w:p>
      <w:pPr>
        <w:spacing w:after="120"/>
      </w:pPr>
      <w:r>
        <w:rPr>
          <w:rFonts w:ascii="Calibri" w:hAnsi="Calibri" w:cs="Calibri"/>
          <w:i/>
          <w:color w:val="000000"/>
          <w:sz w:val="22"/>
        </w:rPr>
        <w:t>Tidak ada pihak yang berhak menuntut ganti rugi atas kerugian tidak langsung, kehilangan keuntungan, atau kehilangan kesempatan usaha, kecuali sepanjang pembatasan tersebut dilarang oleh hukum atau kerugian tersebut timbul dari kesengajaan, kelalaian berat, pelanggaran kerahasiaan, atau penyalahgunaan Data Pribadi.</w:t>
      </w:r>
    </w:p>
    <w:p>
      <w:pPr>
        <w:pStyle w:val="Heading2"/>
        <w:keepNext/>
      </w:pPr>
      <w:r>
        <w:t>Pasal 11. Keadaan Kahar</w:t>
      </w:r>
    </w:p>
    <w:p>
      <w:pPr>
        <w:spacing w:before="0" w:after="120"/>
      </w:pPr>
      <w:r>
        <w:rPr>
          <w:rFonts w:ascii="Calibri" w:hAnsi="Calibri" w:cs="Calibri"/>
          <w:color w:val="000000"/>
          <w:sz w:val="22"/>
        </w:rPr>
        <w:t>Pihak yang terhalang oleh Keadaan Kahar wajib memberitahukan pihak lainnya paling lambat 5 (lima) Hari Kerja setelah mengetahui peristiwa tersebut, dengan menjelaskan perkiraan durasi dan langkah pemulihan. Kewajiban pembayaran atas layanan yang telah diberikan tetap harus dipenuhi.</w:t>
      </w:r>
    </w:p>
    <w:p>
      <w:pPr>
        <w:spacing w:before="0" w:after="120"/>
      </w:pPr>
      <w:r>
        <w:rPr>
          <w:rFonts w:ascii="Calibri" w:hAnsi="Calibri" w:cs="Calibri"/>
          <w:color w:val="000000"/>
          <w:sz w:val="22"/>
        </w:rPr>
        <w:t>Apabila Keadaan Kahar berlangsung lebih dari 45 (empat puluh lima) hari kalender dan secara material menghambat tujuan Perjanjian, masing-masing pihak dapat mengakhiri Perjanjian tanpa denda melalui pemberitahuan tertulis.</w:t>
      </w:r>
    </w:p>
    <w:p>
      <w:pPr>
        <w:pStyle w:val="Heading2"/>
        <w:keepNext/>
      </w:pPr>
      <w:r>
        <w:t>Pasal 12. Penyelesaian Sengketa</w:t>
      </w:r>
    </w:p>
    <w:p>
      <w:pPr>
        <w:spacing w:before="0" w:after="120"/>
      </w:pPr>
      <w:r>
        <w:rPr>
          <w:rFonts w:ascii="Calibri" w:hAnsi="Calibri" w:cs="Calibri"/>
          <w:color w:val="000000"/>
          <w:sz w:val="22"/>
        </w:rPr>
        <w:t>Sengketa yang timbul dari atau berhubungan dengan Perjanjian ini terlebih dahulu diselesaikan melalui musyawarah dengan melibatkan wakil yang mempunyai kewenangan mengambil keputusan.</w:t>
      </w:r>
    </w:p>
    <w:p>
      <w:pPr>
        <w:numPr>
          <w:ilvl w:val="0"/>
          <w:numId w:val="10"/>
        </w:numPr>
        <w:spacing w:after="160" w:line="280" w:lineRule="auto"/>
        <w:ind w:left="720" w:hanging="360"/>
      </w:pPr>
      <w:r>
        <w:rPr>
          <w:rFonts w:ascii="Calibri" w:hAnsi="Calibri" w:cs="Calibri"/>
          <w:color w:val="000000"/>
          <w:sz w:val="22"/>
        </w:rPr>
        <w:t>Pihak yang mengajukan sengketa mengirimkan pemberitahuan tertulis yang memuat ringkasan fakta dan tuntutan dalam bahasa Indonesia.</w:t>
      </w:r>
    </w:p>
    <w:p>
      <w:pPr>
        <w:numPr>
          <w:ilvl w:val="0"/>
          <w:numId w:val="10"/>
        </w:numPr>
        <w:spacing w:after="160" w:line="280" w:lineRule="auto"/>
        <w:ind w:left="720" w:hanging="360"/>
      </w:pPr>
      <w:r>
        <w:rPr>
          <w:rFonts w:ascii="Calibri" w:hAnsi="Calibri" w:cs="Calibri"/>
          <w:color w:val="000000"/>
          <w:sz w:val="22"/>
        </w:rPr>
        <w:t>Para Pihak melakukan pertemuan dalam waktu paling lambat 10 (sepuluh) Hari Kerja dan berupaya mencapai penyelesaian dalam waktu 30 (tiga puluh) hari kalender.</w:t>
      </w:r>
    </w:p>
    <w:p>
      <w:pPr>
        <w:numPr>
          <w:ilvl w:val="0"/>
          <w:numId w:val="10"/>
        </w:numPr>
        <w:spacing w:after="160" w:line="280" w:lineRule="auto"/>
        <w:ind w:left="720" w:hanging="360"/>
      </w:pPr>
      <w:r>
        <w:rPr>
          <w:rFonts w:ascii="Calibri" w:hAnsi="Calibri" w:cs="Calibri"/>
          <w:color w:val="000000"/>
          <w:sz w:val="22"/>
        </w:rPr>
        <w:t>Jika musyawarah tidak berhasil, Para Pihak dapat menyepakati mediasi. Apabila mediasi tidak mencapai kesepakatan, sengketa diselesaikan melalui Pengadilan Negeri Jakarta Selatan.</w:t>
      </w:r>
    </w:p>
    <w:p>
      <w:pPr>
        <w:spacing w:before="0" w:after="120"/>
      </w:pPr>
      <w:r>
        <w:rPr>
          <w:rFonts w:ascii="Calibri" w:hAnsi="Calibri" w:cs="Calibri"/>
          <w:color w:val="000000"/>
          <w:sz w:val="22"/>
        </w:rPr>
        <w:t>Perjanjian ini diatur dan ditafsirkan berdasarkan hukum Republik Indonesia. Ketentuan pilihan forum tidak membatasi hak untuk meminta tindakan sementara atau perlindungan mendesak dari pengadilan yang berwenang.</w:t>
      </w:r>
    </w:p>
    <w:p>
      <w:pPr>
        <w:pStyle w:val="Heading1"/>
        <w:keepNext/>
      </w:pPr>
      <w:r>
        <w:t>BAB VI. JANGKA WAKTU DAN PENUTUP</w:t>
      </w:r>
    </w:p>
    <w:p>
      <w:pPr>
        <w:pStyle w:val="Heading2"/>
        <w:keepNext/>
      </w:pPr>
      <w:r>
        <w:t>Pasal 13. Jangka Waktu dan Pengakhiran</w:t>
      </w:r>
    </w:p>
    <w:p>
      <w:pPr>
        <w:spacing w:before="0" w:after="120"/>
      </w:pPr>
      <w:r>
        <w:rPr>
          <w:rFonts w:ascii="Calibri" w:hAnsi="Calibri" w:cs="Calibri"/>
          <w:color w:val="000000"/>
          <w:sz w:val="22"/>
        </w:rPr>
        <w:t>Perjanjian berlaku sejak 1 September 2026 sampai dengan 31 Agustus 2027 dan diperpanjang otomatis untuk periode 12 (dua belas) bulan, kecuali salah satu pihak menyampaikan pemberitahuan tidak memperpanjang paling lambat 60 (enam puluh) hari kalender sebelum berakhirnya periode berjalan.</w:t>
      </w:r>
    </w:p>
    <w:p>
      <w:pPr>
        <w:spacing w:before="0" w:after="120"/>
      </w:pPr>
      <w:r>
        <w:rPr>
          <w:rFonts w:ascii="Calibri" w:hAnsi="Calibri" w:cs="Calibri"/>
          <w:color w:val="000000"/>
          <w:sz w:val="22"/>
        </w:rPr>
        <w:t>Pengakhiran tidak menghapus kewajiban yang telah timbul sebelum tanggal efektif pengakhiran, termasuk kewajiban pembayaran, pengembalian Informasi Rahasia, dan penyelesaian audit. Ketentuan yang menurut sifatnya dimaksudkan untuk tetap berlaku akan tetap berlaku.</w:t>
      </w:r>
    </w:p>
    <w:p>
      <w:pPr>
        <w:pStyle w:val="Heading2"/>
        <w:keepNext/>
      </w:pPr>
      <w:r>
        <w:t>Pasal 14. Pemberitahuan dan Perubahan</w:t>
      </w:r>
    </w:p>
    <w:p>
      <w:pPr>
        <w:spacing w:before="0" w:after="120"/>
      </w:pPr>
      <w:r>
        <w:rPr>
          <w:rFonts w:ascii="Calibri" w:hAnsi="Calibri" w:cs="Calibri"/>
          <w:color w:val="000000"/>
          <w:sz w:val="22"/>
        </w:rPr>
        <w:t>Pemberitahuan harus disampaikan melalui alamat surel korporat yang ditetapkan Para Pihak dan dianggap diterima pada Hari Kerja berikutnya, kecuali pengirim menerima pesan kegagalan pengiriman. Perubahan alamat atau narahubung berlaku setelah diberitahukan secara tertulis.</w:t>
      </w:r>
    </w:p>
    <w:p>
      <w:pPr>
        <w:spacing w:before="0" w:after="120"/>
      </w:pPr>
      <w:r>
        <w:rPr>
          <w:rFonts w:ascii="Calibri" w:hAnsi="Calibri" w:cs="Calibri"/>
          <w:color w:val="000000"/>
          <w:sz w:val="22"/>
        </w:rPr>
        <w:t>Perubahan Perjanjian hanya sah apabila dibuat tertulis dan ditandatangani oleh wakil yang berwenang dari masing-masing pihak. Toleransi terhadap suatu pelanggaran tidak dianggap sebagai pengesampingan hak untuk menegakkan ketentuan pada kesempatan berikutnya.</w:t>
      </w:r>
    </w:p>
    <w:p>
      <w:pPr>
        <w:pStyle w:val="Heading2"/>
        <w:keepNext/>
      </w:pPr>
      <w:r>
        <w:t>Pasal 15. Penandatanganan</w:t>
      </w:r>
    </w:p>
    <w:p>
      <w:pPr>
        <w:spacing w:before="0" w:after="120"/>
      </w:pPr>
      <w:r>
        <w:rPr>
          <w:rFonts w:ascii="Calibri" w:hAnsi="Calibri" w:cs="Calibri"/>
          <w:color w:val="000000"/>
          <w:sz w:val="22"/>
        </w:rPr>
        <w:t>Perjanjian ini dibuat dalam 2 (dua) rangkap elektronik yang masing-masing mempunyai kekuatan pembuktian yang sama. Para Pihak memahami bahwa dokumen ini adalah fixture QA sintetis dan tidak menciptakan hubungan hukum nyata.</w:t>
      </w:r>
    </w:p>
    <w:tbl>
      <w:tblPr>
        <w:tblW w:type="dxa" w:w="9360"/>
        <w:jc w:val="left"/>
        <w:tblLayout w:type="fixed"/>
        <w:tblLook w:firstColumn="1" w:firstRow="1" w:lastColumn="0" w:lastRow="0" w:noHBand="0" w:noVBand="1" w:val="04A0"/>
        <w:tblInd w:w="120" w:type="dxa"/>
        <w:tblBorders>
          <w:top w:val="single" w:sz="6" w:space="0" w:color="B7C2D0"/>
          <w:left w:val="single" w:sz="6" w:space="0" w:color="B7C2D0"/>
          <w:bottom w:val="single" w:sz="6" w:space="0" w:color="B7C2D0"/>
          <w:right w:val="single" w:sz="6" w:space="0" w:color="B7C2D0"/>
          <w:insideH w:val="single" w:sz="6" w:space="0" w:color="B7C2D0"/>
          <w:insideV w:val="single" w:sz="6" w:space="0" w:color="B7C2D0"/>
        </w:tblBorders>
      </w:tblPr>
      <w:tblGrid>
        <w:gridCol w:w="4680"/>
        <w:gridCol w:w="4680"/>
      </w:tblGrid>
      <w:tr>
        <w:tc>
          <w:tcPr>
            <w:tcW w:type="dxa" w:w="4680"/>
            <w:tcMar>
              <w:top w:w="80" w:type="dxa"/>
              <w:start w:w="120" w:type="dxa"/>
              <w:bottom w:w="80" w:type="dxa"/>
              <w:end w:w="120" w:type="dxa"/>
            </w:tcMar>
            <w:vAlign w:val="center"/>
            <w:shd w:fill="E8EEF5" w:val="clear"/>
          </w:tcPr>
          <w:p>
            <w:pPr>
              <w:spacing w:before="0" w:after="60" w:line="252" w:lineRule="auto"/>
              <w:jc w:val="center"/>
            </w:pPr>
            <w:r>
              <w:rPr>
                <w:rFonts w:ascii="Calibri" w:hAnsi="Calibri" w:cs="Calibri"/>
                <w:b/>
                <w:color w:val="000000"/>
                <w:sz w:val="19"/>
              </w:rPr>
              <w:t>PIHAK PERTAMA</w:t>
              <w:br/>
              <w:t>PT ARUNIKA DATA NUSANTARA</w:t>
            </w:r>
          </w:p>
        </w:tc>
        <w:tc>
          <w:tcPr>
            <w:tcW w:type="dxa" w:w="4680"/>
            <w:tcMar>
              <w:top w:w="80" w:type="dxa"/>
              <w:start w:w="120" w:type="dxa"/>
              <w:bottom w:w="80" w:type="dxa"/>
              <w:end w:w="120" w:type="dxa"/>
            </w:tcMar>
            <w:vAlign w:val="center"/>
            <w:shd w:fill="E8EEF5" w:val="clear"/>
          </w:tcPr>
          <w:p>
            <w:pPr>
              <w:spacing w:before="0" w:after="60" w:line="252" w:lineRule="auto"/>
              <w:jc w:val="center"/>
            </w:pPr>
            <w:r>
              <w:rPr>
                <w:rFonts w:ascii="Calibri" w:hAnsi="Calibri" w:cs="Calibri"/>
                <w:b/>
                <w:color w:val="000000"/>
                <w:sz w:val="19"/>
              </w:rPr>
              <w:t>PIHAK KEDUA</w:t>
              <w:br/>
              <w:t>CV CAKRAWALA LEGAL</w:t>
            </w:r>
          </w:p>
        </w:tc>
      </w:tr>
      <w:tr>
        <w:tc>
          <w:tcPr>
            <w:tcW w:type="dxa" w:w="4680"/>
            <w:tcMar>
              <w:top w:w="80" w:type="dxa"/>
              <w:start w:w="120" w:type="dxa"/>
              <w:bottom w:w="80" w:type="dxa"/>
              <w:end w:w="120" w:type="dxa"/>
            </w:tcMar>
            <w:vAlign w:val="center"/>
          </w:tcPr>
          <w:p>
            <w:pPr>
              <w:spacing w:before="0" w:after="60" w:line="252" w:lineRule="auto"/>
              <w:jc w:val="center"/>
            </w:pPr>
            <w:r>
              <w:rPr>
                <w:rFonts w:ascii="Calibri" w:hAnsi="Calibri" w:cs="Calibri"/>
                <w:b w:val="0"/>
                <w:color w:val="000000"/>
                <w:sz w:val="19"/>
              </w:rPr>
              <w:br/>
              <w:br/>
              <w:t>____________________________</w:t>
            </w:r>
          </w:p>
        </w:tc>
        <w:tc>
          <w:tcPr>
            <w:tcW w:type="dxa" w:w="4680"/>
            <w:tcMar>
              <w:top w:w="80" w:type="dxa"/>
              <w:start w:w="120" w:type="dxa"/>
              <w:bottom w:w="80" w:type="dxa"/>
              <w:end w:w="120" w:type="dxa"/>
            </w:tcMar>
            <w:vAlign w:val="center"/>
          </w:tcPr>
          <w:p>
            <w:pPr>
              <w:spacing w:before="0" w:after="60" w:line="252" w:lineRule="auto"/>
              <w:jc w:val="center"/>
            </w:pPr>
            <w:r>
              <w:rPr>
                <w:rFonts w:ascii="Calibri" w:hAnsi="Calibri" w:cs="Calibri"/>
                <w:b w:val="0"/>
                <w:color w:val="000000"/>
                <w:sz w:val="19"/>
              </w:rPr>
              <w:br/>
              <w:br/>
              <w:t>____________________________</w:t>
            </w:r>
          </w:p>
        </w:tc>
      </w:tr>
      <w:tr>
        <w:tc>
          <w:tcPr>
            <w:tcW w:type="dxa" w:w="4680"/>
            <w:tcMar>
              <w:top w:w="80" w:type="dxa"/>
              <w:start w:w="120" w:type="dxa"/>
              <w:bottom w:w="80" w:type="dxa"/>
              <w:end w:w="120" w:type="dxa"/>
            </w:tcMar>
            <w:vAlign w:val="center"/>
          </w:tcPr>
          <w:p>
            <w:pPr>
              <w:spacing w:before="0" w:after="60" w:line="252" w:lineRule="auto"/>
              <w:jc w:val="center"/>
            </w:pPr>
            <w:r>
              <w:rPr>
                <w:rFonts w:ascii="Calibri" w:hAnsi="Calibri" w:cs="Calibri"/>
                <w:b w:val="0"/>
                <w:color w:val="000000"/>
                <w:sz w:val="19"/>
              </w:rPr>
              <w:t>Nama: Raka Pradipta</w:t>
              <w:br/>
              <w:t>Jabatan: Direktur Operasional</w:t>
            </w:r>
          </w:p>
        </w:tc>
        <w:tc>
          <w:tcPr>
            <w:tcW w:type="dxa" w:w="4680"/>
            <w:tcMar>
              <w:top w:w="80" w:type="dxa"/>
              <w:start w:w="120" w:type="dxa"/>
              <w:bottom w:w="80" w:type="dxa"/>
              <w:end w:w="120" w:type="dxa"/>
            </w:tcMar>
            <w:vAlign w:val="center"/>
          </w:tcPr>
          <w:p>
            <w:pPr>
              <w:spacing w:before="0" w:after="60" w:line="252" w:lineRule="auto"/>
              <w:jc w:val="center"/>
            </w:pPr>
            <w:r>
              <w:rPr>
                <w:rFonts w:ascii="Calibri" w:hAnsi="Calibri" w:cs="Calibri"/>
                <w:b w:val="0"/>
                <w:color w:val="000000"/>
                <w:sz w:val="19"/>
              </w:rPr>
              <w:t>Nama: Nirmala Sari</w:t>
              <w:br/>
              <w:t>Jabatan: Managing Partner</w:t>
            </w:r>
          </w:p>
        </w:tc>
      </w:tr>
      <w:tr>
        <w:tc>
          <w:tcPr>
            <w:tcW w:type="dxa" w:w="4680"/>
            <w:tcMar>
              <w:top w:w="80" w:type="dxa"/>
              <w:start w:w="120" w:type="dxa"/>
              <w:bottom w:w="80" w:type="dxa"/>
              <w:end w:w="120" w:type="dxa"/>
            </w:tcMar>
            <w:vAlign w:val="center"/>
          </w:tcPr>
          <w:p>
            <w:pPr>
              <w:spacing w:before="0" w:after="60" w:line="252" w:lineRule="auto"/>
              <w:jc w:val="center"/>
            </w:pPr>
            <w:r>
              <w:rPr>
                <w:rFonts w:ascii="Calibri" w:hAnsi="Calibri" w:cs="Calibri"/>
                <w:b w:val="0"/>
                <w:color w:val="000000"/>
                <w:sz w:val="19"/>
              </w:rPr>
              <w:t>Tanggal: 1 September 2026</w:t>
            </w:r>
          </w:p>
        </w:tc>
        <w:tc>
          <w:tcPr>
            <w:tcW w:type="dxa" w:w="4680"/>
            <w:tcMar>
              <w:top w:w="80" w:type="dxa"/>
              <w:start w:w="120" w:type="dxa"/>
              <w:bottom w:w="80" w:type="dxa"/>
              <w:end w:w="120" w:type="dxa"/>
            </w:tcMar>
            <w:vAlign w:val="center"/>
          </w:tcPr>
          <w:p>
            <w:pPr>
              <w:spacing w:before="0" w:after="60" w:line="252" w:lineRule="auto"/>
              <w:jc w:val="center"/>
            </w:pPr>
            <w:r>
              <w:rPr>
                <w:rFonts w:ascii="Calibri" w:hAnsi="Calibri" w:cs="Calibri"/>
                <w:b w:val="0"/>
                <w:color w:val="000000"/>
                <w:sz w:val="19"/>
              </w:rPr>
              <w:t>Tanggal: 1 September 2026</w:t>
            </w:r>
          </w:p>
        </w:tc>
      </w:tr>
    </w:tbl>
    <w:p>
      <w:r>
        <w:br w:type="page"/>
      </w:r>
    </w:p>
    <w:p>
      <w:pPr>
        <w:pStyle w:val="Heading1"/>
        <w:keepNext/>
      </w:pPr>
      <w:r>
        <w:t>LAMPIRAN A. HOOK PENGUJIAN</w:t>
      </w:r>
    </w:p>
    <w:p>
      <w:pPr>
        <w:spacing w:before="0" w:after="120"/>
      </w:pPr>
      <w:r>
        <w:rPr>
          <w:rFonts w:ascii="Calibri" w:hAnsi="Calibri" w:cs="Calibri"/>
          <w:color w:val="000000"/>
          <w:sz w:val="22"/>
        </w:rPr>
        <w:t>Lampiran ini sengaja memuat variasi teks untuk memudahkan pengujian code path. Lampiran merupakan bagian dari fixture, bukan instruksi produk dan bukan sumber hukum.</w:t>
      </w:r>
    </w:p>
    <w:p>
      <w:pPr>
        <w:pStyle w:val="Heading2"/>
        <w:keepNext/>
      </w:pPr>
      <w:r>
        <w:t>A.1. Teks Unicode dan UTF-16</w:t>
      </w:r>
    </w:p>
    <w:p>
      <w:pPr>
        <w:spacing w:before="0" w:after="120"/>
      </w:pPr>
      <w:r>
        <w:rPr>
          <w:rFonts w:ascii="Calibri" w:hAnsi="Calibri" w:cs="Calibri"/>
          <w:color w:val="000000"/>
          <w:sz w:val="22"/>
        </w:rPr>
        <w:t>Kutipan uji: Para Pihak menyimpan berkas pada folder Café/😀 dan mencatat perubahan melalui log audit. Nilai emoji menggunakan lebih dari satu code unit UTF-16; mapper harus tetap menghasilkan rentang yang benar.</w:t>
      </w:r>
    </w:p>
    <w:p>
      <w:pPr>
        <w:pStyle w:val="Heading2"/>
        <w:keepNext/>
      </w:pPr>
      <w:r>
        <w:t>A.2. Teks Duplikat dan Overlap</w:t>
      </w:r>
    </w:p>
    <w:p>
      <w:pPr>
        <w:spacing w:before="0" w:after="120"/>
      </w:pPr>
      <w:r>
        <w:rPr>
          <w:rFonts w:ascii="Calibri" w:hAnsi="Calibri" w:cs="Calibri"/>
          <w:color w:val="000000"/>
          <w:sz w:val="22"/>
        </w:rPr>
        <w:t>Kutipan duplikat: pihak terkait wajib menyimpan catatan. Pada paragraf berikut, pihak terkait wajib menyimpan catatan. Kedua kemunculan ini harus dianggap ambigu apabila model mengusulkan penggantian tanpa anchor yang lebih kuat.</w:t>
      </w:r>
    </w:p>
    <w:p>
      <w:pPr>
        <w:spacing w:before="0" w:after="120"/>
      </w:pPr>
      <w:r>
        <w:rPr>
          <w:rFonts w:ascii="Calibri" w:hAnsi="Calibri" w:cs="Calibri"/>
          <w:color w:val="000000"/>
          <w:sz w:val="22"/>
        </w:rPr>
        <w:t>Kutipan overlap: kewajiban pelaporan dan kewajiban pelaporan bulanan. Perubahan yang mengenai kedua rentang secara bersamaan harus ditolak dan tidak boleh masuk ke ekspor.</w:t>
      </w:r>
    </w:p>
    <w:p>
      <w:pPr>
        <w:pStyle w:val="Heading2"/>
        <w:keepNext/>
      </w:pPr>
      <w:r>
        <w:t>A.3. Istilah dan Masalah Bahasa</w:t>
      </w:r>
    </w:p>
    <w:p>
      <w:pPr>
        <w:numPr>
          <w:ilvl w:val="0"/>
          <w:numId w:val="11"/>
        </w:numPr>
        <w:spacing w:after="160" w:line="280" w:lineRule="auto"/>
        <w:ind w:left="720" w:hanging="360"/>
      </w:pPr>
      <w:r>
        <w:rPr>
          <w:rFonts w:ascii="Calibri" w:hAnsi="Calibri" w:cs="Calibri"/>
          <w:color w:val="000000"/>
          <w:sz w:val="22"/>
        </w:rPr>
        <w:t>Kesalahan ejaan sengaja: resiko, ijin, kerjasama, aktifitas, dan analisa.</w:t>
      </w:r>
    </w:p>
    <w:p>
      <w:pPr>
        <w:numPr>
          <w:ilvl w:val="0"/>
          <w:numId w:val="11"/>
        </w:numPr>
        <w:spacing w:after="160" w:line="280" w:lineRule="auto"/>
        <w:ind w:left="720" w:hanging="360"/>
      </w:pPr>
      <w:r>
        <w:rPr>
          <w:rFonts w:ascii="Calibri" w:hAnsi="Calibri" w:cs="Calibri"/>
          <w:color w:val="000000"/>
          <w:sz w:val="22"/>
        </w:rPr>
        <w:t>Kesalahan spasi sengaja: didalam, kedalam, diatas, dan daripada yang tidak diperlukan.</w:t>
      </w:r>
    </w:p>
    <w:p>
      <w:pPr>
        <w:numPr>
          <w:ilvl w:val="0"/>
          <w:numId w:val="11"/>
        </w:numPr>
        <w:spacing w:after="160" w:line="280" w:lineRule="auto"/>
        <w:ind w:left="720" w:hanging="360"/>
      </w:pPr>
      <w:r>
        <w:rPr>
          <w:rFonts w:ascii="Calibri" w:hAnsi="Calibri" w:cs="Calibri"/>
          <w:color w:val="000000"/>
          <w:sz w:val="22"/>
        </w:rPr>
        <w:t>Redundansi sengaja: wajib untuk, diwajibkan untuk, agar supaya, dan dapat bisa.</w:t>
      </w:r>
    </w:p>
    <w:p>
      <w:pPr>
        <w:numPr>
          <w:ilvl w:val="0"/>
          <w:numId w:val="11"/>
        </w:numPr>
        <w:spacing w:after="160" w:line="280" w:lineRule="auto"/>
        <w:ind w:left="720" w:hanging="360"/>
      </w:pPr>
      <w:r>
        <w:rPr>
          <w:rFonts w:ascii="Calibri" w:hAnsi="Calibri" w:cs="Calibri"/>
          <w:color w:val="000000"/>
          <w:sz w:val="22"/>
        </w:rPr>
        <w:t>Istilah legal untuk retrieval: Data Pribadi, Pelaku Usaha, Korporasi, Informasi Rahasia, wanprestasi, ganti rugi, Keadaan Kahar, dan hak kekayaan intelektual.</w:t>
      </w:r>
    </w:p>
    <w:p>
      <w:pPr>
        <w:pStyle w:val="Heading2"/>
        <w:keepNext/>
      </w:pPr>
      <w:r>
        <w:t>A.4. Catatan Ekspektasi</w:t>
      </w:r>
    </w:p>
    <w:p>
      <w:pPr>
        <w:spacing w:before="0" w:after="120"/>
      </w:pPr>
      <w:r>
        <w:rPr>
          <w:rFonts w:ascii="Calibri" w:hAnsi="Calibri" w:cs="Calibri"/>
          <w:color w:val="000000"/>
          <w:sz w:val="22"/>
        </w:rPr>
        <w:t>Viewer harus mempertahankan tampilan halaman DOCX melalui Quick Look. Panel review boleh menampilkan kutipan, nomor segmen, alasan, dan status, tetapi tidak boleh mengarang nomor halaman atau highlight koordinat teks yang tidak tersedia.</w:t>
      </w:r>
    </w:p>
    <w:p>
      <w:pPr>
        <w:spacing w:before="0" w:after="120"/>
      </w:pPr>
      <w:r>
        <w:rPr>
          <w:rFonts w:ascii="Calibri" w:hAnsi="Calibri" w:cs="Calibri"/>
          <w:color w:val="000000"/>
          <w:sz w:val="22"/>
        </w:rPr>
        <w:t>Perubahan yang diterima hanya boleh diterapkan pada salinan ekspor baru. File original harus tetap byte-identical, sedangkan page reflow pada file hasil review diperbolehkan.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s="Calibri"/>
        <w:color w:val="555555"/>
        <w:sz w:val="18"/>
      </w:rPr>
      <w:t xml:space="preserve">FIKTIF — QA ONLY  |  Halaman </w:t>
    </w:r>
    <w:r>
      <w:rPr>
        <w:rFonts w:ascii="Calibri" w:hAnsi="Calibri" w:cs="Calibri"/>
        <w:color w:val="55555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
      <w:rPr>
        <w:rFonts w:ascii="Calibri" w:hAnsi="Calibri" w:cs="Calibri"/>
        <w:b/>
        <w:color w:val="555555"/>
        <w:sz w:val="17"/>
      </w:rPr>
      <w:t>AMT REVIEW FIXTURE</w:t>
    </w:r>
    <w:r>
      <w:rPr>
        <w:rFonts w:ascii="Calibri" w:hAnsi="Calibri" w:cs="Calibri"/>
        <w:color w:val="555555"/>
        <w:sz w:val="17"/>
      </w:rPr>
      <w:tab/>
    </w:r>
    <w:r>
      <w:rPr>
        <w:rFonts w:ascii="Calibri" w:hAnsi="Calibri" w:cs="Calibri"/>
        <w:color w:val="555555"/>
        <w:sz w:val="17"/>
      </w:rPr>
      <w:t>DUMMY LEGAL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720"/>
        </w:tabs>
        <w:ind w:left="720" w:hanging="360"/>
        <w:spacing w:after="160" w:line="280" w:lineRule="auto"/>
      </w:pPr>
    </w:lvl>
  </w:abstractNum>
  <w:num w:numId="10">
    <w:abstractNumId w:val="9"/>
  </w:num>
  <w:abstractNum w:abstractNumId="10">
    <w:multiLevelType w:val="singleLevel"/>
    <w:lvl w:ilvl="0">
      <w:start w:val="1"/>
      <w:numFmt w:val="bullet"/>
      <w:lvlText w:val="•"/>
      <w:lvlJc w:val="left"/>
      <w:pPr>
        <w:tabs>
          <w:tab w:val="num" w:pos="720"/>
        </w:tabs>
        <w:ind w:left="720" w:hanging="360"/>
        <w:spacing w:after="160" w:line="28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s="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cs="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cs="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cs="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before="0"/>
      <w:contextualSpacing/>
    </w:pPr>
    <w:rPr>
      <w:rFonts w:asciiTheme="majorHAnsi" w:eastAsiaTheme="majorEastAsia" w:hAnsiTheme="majorHAnsi" w:cstheme="majorBidi" w:ascii="Calibri" w:hAnsi="Calibri" w:cs="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80" w:line="240" w:lineRule="auto"/>
    </w:pPr>
    <w:rPr>
      <w:rFonts w:asciiTheme="majorHAnsi" w:eastAsiaTheme="majorEastAsia" w:hAnsiTheme="majorHAnsi" w:cstheme="majorBidi" w:ascii="Calibri" w:hAnsi="Calibri" w:cs="Calibri"/>
      <w:i/>
      <w:iCs/>
      <w:color w:val="55555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xtureKicker">
    <w:name w:val="Fixture Kicker"/>
    <w:pPr>
      <w:spacing w:before="0" w:after="160"/>
    </w:pPr>
    <w:rPr>
      <w:rFonts w:ascii="Calibri" w:hAnsi="Calibri" w:cs="Calibri"/>
      <w:b/>
      <w:color w:val="7A5A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