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ProjectPulse Features and User Guide</w:t>
      </w:r>
    </w:p>
    <w:p>
      <w:pPr>
        <w:pStyle w:val="Subtitle"/>
      </w:pPr>
      <w:r>
        <w:t>Website functionality and practical operating instructions</w:t>
      </w:r>
    </w:p>
    <w:p>
      <w:r>
        <w:t>Updated 27 October 2026</w:t>
      </w:r>
    </w:p>
    <w:p>
      <w:r>
        <w:t>ProjectPulse is a browser-based project planning application for organizing work, connecting dependent tasks, and understanding project schedules. This guide explains the current features and shows how an owner, editor, or viewer can use the website. It covers the simplified version with top navigation and compact NumPy and pandas analytics.</w:t>
      </w:r>
    </w:p>
    <w:p>
      <w:pPr>
        <w:pStyle w:val="Heading2"/>
      </w:pPr>
      <w:r>
        <w:t>What the website provides</w:t>
      </w:r>
    </w:p>
    <w:p>
      <w:pPr>
        <w:pStyle w:val="ListBullet"/>
      </w:pPr>
      <w:r>
        <w:t>Organizations and workspaces keep related projects together, while roles control who can view, edit, or manage them.</w:t>
      </w:r>
    </w:p>
    <w:p>
      <w:pPr>
        <w:pStyle w:val="ListBullet"/>
      </w:pPr>
      <w:r>
        <w:t>Tasks, milestones, and dependencies describe the work and its required order. Working calendars determine when that work can happen.</w:t>
      </w:r>
    </w:p>
    <w:p>
      <w:pPr>
        <w:pStyle w:val="ListBullet"/>
      </w:pPr>
      <w:r>
        <w:t>The Timeline view shows a read-only Gantt chart, calculated dates, critical tasks, and scheduling float.</w:t>
      </w:r>
    </w:p>
    <w:p>
      <w:pPr>
        <w:pStyle w:val="ListBullet"/>
      </w:pPr>
      <w:r>
        <w:t>Project insights summarize completion and task durations. Calendar export downloads project dates as an ICS file.</w:t>
      </w:r>
    </w:p>
    <w:p>
      <w:pPr>
        <w:pStyle w:val="Heading2"/>
      </w:pPr>
      <w:r>
        <w:t>How the interface is organized</w:t>
      </w:r>
    </w:p>
    <w:p>
      <w:r>
        <w:t>The top bar contains organization and workspace selectors, management actions, project navigation, and Sign out. Within a project, use Tasks for daily editing, Timeline for schedule analysis and export, and Settings for project dates and working hours. On smaller screens, open Navigation to reach the same controls.</w:t>
      </w:r>
    </w:p>
    <w:p>
      <w:r>
        <w:t>The interface follows your device appearance setting for light or dark mode. There is no separate theme switch. Forms open in dialogs; Close or Escape dismisses them and returns focus to the original control.</w:t>
      </w:r>
    </w:p>
    <w:p>
      <w:pPr>
        <w:pStyle w:val="Heading2"/>
      </w:pPr>
      <w:r>
        <w:t>A useful first session</w:t>
      </w:r>
    </w:p>
    <w:p>
      <w:r>
        <w:t>Sign in, open a project, add its tasks, connect their dependencies, set the start date and calendar, then inspect Timeline. Use the worked example on page 6 to check your understanding.</w:t>
      </w:r>
    </w:p>
    <w:p>
      <w:r>
        <w:br w:type="page"/>
      </w:r>
    </w:p>
    <w:p>
      <w:pPr>
        <w:pStyle w:val="Heading1"/>
      </w:pPr>
      <w:r>
        <w:t>1 Start the website and sign in</w:t>
      </w:r>
    </w:p>
    <w:p>
      <w:r>
        <w:t>If the program is already running, open http://127.0.0.1:5173 in your browser and skip to Sign in below. For a local installation, Python 3.11 or newer and Node.js with npm are required. Run these commands from the project folder in Windows PowerShell.</w:t>
      </w:r>
    </w:p>
    <w:p>
      <w:pPr>
        <w:pStyle w:val="Heading2"/>
      </w:pPr>
      <w:r>
        <w:t>First time setup</w:t>
      </w:r>
    </w:p>
    <w:p>
      <w:pPr>
        <w:spacing w:after="200"/>
      </w:pPr>
      <w:r>
        <w:rPr>
          <w:rFonts w:ascii="Consolas" w:hAnsi="Consolas"/>
          <w:sz w:val="19"/>
        </w:rPr>
        <w:t>python -m venv .venv</w:t>
        <w:br/>
        <w:t>.\.venv\Scripts\Activate.ps1</w:t>
        <w:br/>
        <w:t>python -m pip install -r requirements.txt</w:t>
        <w:br/>
        <w:t>Copy-Item .env.example .env</w:t>
      </w:r>
    </w:p>
    <w:p>
      <w:r>
        <w:t>Create .env only if it does not already exist. Keep an existing configuration and database when restarting the app.</w:t>
      </w:r>
    </w:p>
    <w:p>
      <w:pPr>
        <w:pStyle w:val="Heading2"/>
      </w:pPr>
      <w:r>
        <w:t>Start the backend</w:t>
      </w:r>
    </w:p>
    <w:p>
      <w:pPr>
        <w:spacing w:after="200"/>
      </w:pPr>
      <w:r>
        <w:rPr>
          <w:rFonts w:ascii="Consolas" w:hAnsi="Consolas"/>
          <w:sz w:val="19"/>
        </w:rPr>
        <w:t>Set-Location backend</w:t>
        <w:br/>
        <w:t>flask db upgrade</w:t>
        <w:br/>
        <w:t>flask seed-demo</w:t>
        <w:br/>
        <w:t>flask run --debug</w:t>
      </w:r>
    </w:p>
    <w:p>
      <w:r>
        <w:t>The upgrade command applies existing migrations. Demo seeding creates missing demo records and skips existing users. Leave this terminal running; the API normally listens on port 5000.</w:t>
      </w:r>
    </w:p>
    <w:p>
      <w:pPr>
        <w:pStyle w:val="Heading2"/>
      </w:pPr>
      <w:r>
        <w:t>Start the frontend</w:t>
      </w:r>
    </w:p>
    <w:p>
      <w:r>
        <w:t>Open a second PowerShell terminal in the project root, then run:</w:t>
      </w:r>
    </w:p>
    <w:p>
      <w:pPr>
        <w:spacing w:after="200"/>
      </w:pPr>
      <w:r>
        <w:rPr>
          <w:rFonts w:ascii="Consolas" w:hAnsi="Consolas"/>
          <w:sz w:val="19"/>
        </w:rPr>
        <w:t>Set-Location frontend</w:t>
        <w:br/>
        <w:t>npm install</w:t>
        <w:br/>
        <w:t>npm run dev</w:t>
      </w:r>
    </w:p>
    <w:p>
      <w:r>
        <w:t>Open the URL printed by Vite, normally http://localhost:5173. For later starts, dependency installation is unnecessary unless packages have changed. Stop terminal-run servers with Ctrl+C in each terminal.</w:t>
      </w:r>
    </w:p>
    <w:p>
      <w:pPr>
        <w:pStyle w:val="Heading2"/>
      </w:pPr>
      <w:r>
        <w:t>Sign in</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6624"/>
            <w:vAlign w:val="center"/>
            <w:tcMar>
              <w:top w:w="95" w:type="dxa"/>
              <w:left w:w="95" w:type="dxa"/>
              <w:bottom w:w="95" w:type="dxa"/>
              <w:right w:w="95" w:type="dxa"/>
            </w:tcMar>
            <w:shd w:fill="EEF1F4"/>
          </w:tcPr>
          <w:p>
            <w:pPr>
              <w:spacing w:after="40" w:line="252" w:lineRule="auto"/>
            </w:pPr>
            <w:r>
              <w:rPr>
                <w:b/>
                <w:sz w:val="21"/>
              </w:rPr>
              <w:t>Demo email</w:t>
            </w:r>
          </w:p>
        </w:tc>
        <w:tc>
          <w:tcPr>
            <w:tcW w:type="dxa" w:w="3024"/>
            <w:vAlign w:val="center"/>
            <w:tcMar>
              <w:top w:w="95" w:type="dxa"/>
              <w:left w:w="95" w:type="dxa"/>
              <w:bottom w:w="95" w:type="dxa"/>
              <w:right w:w="95" w:type="dxa"/>
            </w:tcMar>
            <w:shd w:fill="EEF1F4"/>
          </w:tcPr>
          <w:p>
            <w:pPr>
              <w:spacing w:after="40" w:line="252" w:lineRule="auto"/>
            </w:pPr>
            <w:r>
              <w:rPr>
                <w:b/>
                <w:sz w:val="21"/>
              </w:rPr>
              <w:t>Organization role</w:t>
            </w:r>
          </w:p>
        </w:tc>
      </w:tr>
      <w:tr>
        <w:trPr>
          <w:cantSplit/>
        </w:trPr>
        <w:tc>
          <w:tcPr>
            <w:tcW w:type="dxa" w:w="6624"/>
            <w:vAlign w:val="center"/>
            <w:tcMar>
              <w:top w:w="95" w:type="dxa"/>
              <w:left w:w="95" w:type="dxa"/>
              <w:bottom w:w="95" w:type="dxa"/>
              <w:right w:w="95" w:type="dxa"/>
            </w:tcMar>
          </w:tcPr>
          <w:p>
            <w:pPr>
              <w:spacing w:after="40" w:line="252" w:lineRule="auto"/>
            </w:pPr>
            <w:r>
              <w:rPr>
                <w:b w:val="0"/>
                <w:sz w:val="21"/>
              </w:rPr>
              <w:t>owner@demo.local</w:t>
            </w:r>
          </w:p>
        </w:tc>
        <w:tc>
          <w:tcPr>
            <w:tcW w:type="dxa" w:w="3024"/>
            <w:vAlign w:val="center"/>
            <w:tcMar>
              <w:top w:w="95" w:type="dxa"/>
              <w:left w:w="95" w:type="dxa"/>
              <w:bottom w:w="95" w:type="dxa"/>
              <w:right w:w="95" w:type="dxa"/>
            </w:tcMar>
          </w:tcPr>
          <w:p>
            <w:pPr>
              <w:spacing w:after="40" w:line="252" w:lineRule="auto"/>
            </w:pPr>
            <w:r>
              <w:rPr>
                <w:b w:val="0"/>
                <w:sz w:val="21"/>
              </w:rPr>
              <w:t>Owner</w:t>
            </w:r>
          </w:p>
        </w:tc>
      </w:tr>
      <w:tr>
        <w:trPr>
          <w:cantSplit/>
        </w:trPr>
        <w:tc>
          <w:tcPr>
            <w:tcW w:type="dxa" w:w="6624"/>
            <w:vAlign w:val="center"/>
            <w:tcMar>
              <w:top w:w="95" w:type="dxa"/>
              <w:left w:w="95" w:type="dxa"/>
              <w:bottom w:w="95" w:type="dxa"/>
              <w:right w:w="95" w:type="dxa"/>
            </w:tcMar>
          </w:tcPr>
          <w:p>
            <w:pPr>
              <w:spacing w:after="40" w:line="252" w:lineRule="auto"/>
            </w:pPr>
            <w:r>
              <w:rPr>
                <w:b w:val="0"/>
                <w:sz w:val="21"/>
              </w:rPr>
              <w:t>editor@demo.local</w:t>
            </w:r>
          </w:p>
        </w:tc>
        <w:tc>
          <w:tcPr>
            <w:tcW w:type="dxa" w:w="3024"/>
            <w:vAlign w:val="center"/>
            <w:tcMar>
              <w:top w:w="95" w:type="dxa"/>
              <w:left w:w="95" w:type="dxa"/>
              <w:bottom w:w="95" w:type="dxa"/>
              <w:right w:w="95" w:type="dxa"/>
            </w:tcMar>
          </w:tcPr>
          <w:p>
            <w:pPr>
              <w:spacing w:after="40" w:line="252" w:lineRule="auto"/>
            </w:pPr>
            <w:r>
              <w:rPr>
                <w:b w:val="0"/>
                <w:sz w:val="21"/>
              </w:rPr>
              <w:t>Editor</w:t>
            </w:r>
          </w:p>
        </w:tc>
      </w:tr>
      <w:tr>
        <w:trPr>
          <w:cantSplit/>
        </w:trPr>
        <w:tc>
          <w:tcPr>
            <w:tcW w:type="dxa" w:w="6624"/>
            <w:vAlign w:val="center"/>
            <w:tcMar>
              <w:top w:w="95" w:type="dxa"/>
              <w:left w:w="95" w:type="dxa"/>
              <w:bottom w:w="95" w:type="dxa"/>
              <w:right w:w="95" w:type="dxa"/>
            </w:tcMar>
          </w:tcPr>
          <w:p>
            <w:pPr>
              <w:spacing w:after="40" w:line="252" w:lineRule="auto"/>
            </w:pPr>
            <w:r>
              <w:rPr>
                <w:b w:val="0"/>
                <w:sz w:val="21"/>
              </w:rPr>
              <w:t>viewer@demo.local</w:t>
            </w:r>
          </w:p>
        </w:tc>
        <w:tc>
          <w:tcPr>
            <w:tcW w:type="dxa" w:w="3024"/>
            <w:vAlign w:val="center"/>
            <w:tcMar>
              <w:top w:w="95" w:type="dxa"/>
              <w:left w:w="95" w:type="dxa"/>
              <w:bottom w:w="95" w:type="dxa"/>
              <w:right w:w="95" w:type="dxa"/>
            </w:tcMar>
          </w:tcPr>
          <w:p>
            <w:pPr>
              <w:spacing w:after="40" w:line="252" w:lineRule="auto"/>
            </w:pPr>
            <w:r>
              <w:rPr>
                <w:b w:val="0"/>
                <w:sz w:val="21"/>
              </w:rPr>
              <w:t>Viewer</w:t>
            </w:r>
          </w:p>
        </w:tc>
      </w:tr>
    </w:tbl>
    <w:p>
      <w:r>
        <w:t>The default demo password is DemoPulse123! unless DEMO_PASSWORD was configured differently. Enter your email and password and select Sign in. Keep me signed in is optional. Use Sign out in the top navigation to end your session. Public registration is disabled by default and there is no registration form in the website.</w:t>
      </w:r>
    </w:p>
    <w:p>
      <w:r>
        <w:br w:type="page"/>
      </w:r>
    </w:p>
    <w:p>
      <w:pPr>
        <w:pStyle w:val="Heading1"/>
      </w:pPr>
      <w:r>
        <w:t>2 Organize projects and control access</w:t>
      </w:r>
    </w:p>
    <w:p>
      <w:r>
        <w:t>The hierarchy is Organization, then Workspace, then Project. Organization membership grants access to its workspaces and projects; there are no separate workspace membership settings.</w:t>
      </w:r>
    </w:p>
    <w:p>
      <w:pPr>
        <w:pStyle w:val="Heading2"/>
      </w:pPr>
      <w:r>
        <w:t>Understand the roles</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1656"/>
            <w:vAlign w:val="center"/>
            <w:tcMar>
              <w:top w:w="95" w:type="dxa"/>
              <w:left w:w="95" w:type="dxa"/>
              <w:bottom w:w="95" w:type="dxa"/>
              <w:right w:w="95" w:type="dxa"/>
            </w:tcMar>
            <w:shd w:fill="EEF1F4"/>
          </w:tcPr>
          <w:p>
            <w:pPr>
              <w:spacing w:after="40" w:line="252" w:lineRule="auto"/>
            </w:pPr>
            <w:r>
              <w:rPr>
                <w:b/>
                <w:sz w:val="21"/>
              </w:rPr>
              <w:t>Role</w:t>
            </w:r>
          </w:p>
        </w:tc>
        <w:tc>
          <w:tcPr>
            <w:tcW w:type="dxa" w:w="7992"/>
            <w:vAlign w:val="center"/>
            <w:tcMar>
              <w:top w:w="95" w:type="dxa"/>
              <w:left w:w="95" w:type="dxa"/>
              <w:bottom w:w="95" w:type="dxa"/>
              <w:right w:w="95" w:type="dxa"/>
            </w:tcMar>
            <w:shd w:fill="EEF1F4"/>
          </w:tcPr>
          <w:p>
            <w:pPr>
              <w:spacing w:after="40" w:line="252" w:lineRule="auto"/>
            </w:pPr>
            <w:r>
              <w:rPr>
                <w:b/>
                <w:sz w:val="21"/>
              </w:rPr>
              <w:t>What the user can do</w:t>
            </w:r>
          </w:p>
        </w:tc>
      </w:tr>
      <w:tr>
        <w:trPr>
          <w:cantSplit/>
        </w:trPr>
        <w:tc>
          <w:tcPr>
            <w:tcW w:type="dxa" w:w="1656"/>
            <w:vAlign w:val="center"/>
            <w:tcMar>
              <w:top w:w="95" w:type="dxa"/>
              <w:left w:w="95" w:type="dxa"/>
              <w:bottom w:w="95" w:type="dxa"/>
              <w:right w:w="95" w:type="dxa"/>
            </w:tcMar>
          </w:tcPr>
          <w:p>
            <w:pPr>
              <w:spacing w:after="40" w:line="252" w:lineRule="auto"/>
            </w:pPr>
            <w:r>
              <w:rPr>
                <w:b w:val="0"/>
                <w:sz w:val="21"/>
              </w:rPr>
              <w:t>Owner</w:t>
            </w:r>
          </w:p>
        </w:tc>
        <w:tc>
          <w:tcPr>
            <w:tcW w:type="dxa" w:w="7992"/>
            <w:vAlign w:val="center"/>
            <w:tcMar>
              <w:top w:w="95" w:type="dxa"/>
              <w:left w:w="95" w:type="dxa"/>
              <w:bottom w:w="95" w:type="dxa"/>
              <w:right w:w="95" w:type="dxa"/>
            </w:tcMar>
          </w:tcPr>
          <w:p>
            <w:pPr>
              <w:spacing w:after="40" w:line="252" w:lineRule="auto"/>
            </w:pPr>
            <w:r>
              <w:rPr>
                <w:b w:val="0"/>
                <w:sz w:val="21"/>
              </w:rPr>
              <w:t>Manage the organization, roles, workspaces, projects, and planning data. Delete the organization and manage owner membership.</w:t>
            </w:r>
          </w:p>
        </w:tc>
      </w:tr>
      <w:tr>
        <w:trPr>
          <w:cantSplit/>
        </w:trPr>
        <w:tc>
          <w:tcPr>
            <w:tcW w:type="dxa" w:w="1656"/>
            <w:vAlign w:val="center"/>
            <w:tcMar>
              <w:top w:w="95" w:type="dxa"/>
              <w:left w:w="95" w:type="dxa"/>
              <w:bottom w:w="95" w:type="dxa"/>
              <w:right w:w="95" w:type="dxa"/>
            </w:tcMar>
          </w:tcPr>
          <w:p>
            <w:pPr>
              <w:spacing w:after="40" w:line="252" w:lineRule="auto"/>
            </w:pPr>
            <w:r>
              <w:rPr>
                <w:b w:val="0"/>
                <w:sz w:val="21"/>
              </w:rPr>
              <w:t>Admin</w:t>
            </w:r>
          </w:p>
        </w:tc>
        <w:tc>
          <w:tcPr>
            <w:tcW w:type="dxa" w:w="7992"/>
            <w:vAlign w:val="center"/>
            <w:tcMar>
              <w:top w:w="95" w:type="dxa"/>
              <w:left w:w="95" w:type="dxa"/>
              <w:bottom w:w="95" w:type="dxa"/>
              <w:right w:w="95" w:type="dxa"/>
            </w:tcMar>
          </w:tcPr>
          <w:p>
            <w:pPr>
              <w:spacing w:after="40" w:line="252" w:lineRule="auto"/>
            </w:pPr>
            <w:r>
              <w:rPr>
                <w:b w:val="0"/>
                <w:sz w:val="21"/>
              </w:rPr>
              <w:t>Manage non-owner members, workspaces, projects, and planning data. Cannot delete the organization or manage owners.</w:t>
            </w:r>
          </w:p>
        </w:tc>
      </w:tr>
      <w:tr>
        <w:trPr>
          <w:cantSplit/>
        </w:trPr>
        <w:tc>
          <w:tcPr>
            <w:tcW w:type="dxa" w:w="1656"/>
            <w:vAlign w:val="center"/>
            <w:tcMar>
              <w:top w:w="95" w:type="dxa"/>
              <w:left w:w="95" w:type="dxa"/>
              <w:bottom w:w="95" w:type="dxa"/>
              <w:right w:w="95" w:type="dxa"/>
            </w:tcMar>
          </w:tcPr>
          <w:p>
            <w:pPr>
              <w:spacing w:after="40" w:line="252" w:lineRule="auto"/>
            </w:pPr>
            <w:r>
              <w:rPr>
                <w:b w:val="0"/>
                <w:sz w:val="21"/>
              </w:rPr>
              <w:t>Editor</w:t>
            </w:r>
          </w:p>
        </w:tc>
        <w:tc>
          <w:tcPr>
            <w:tcW w:type="dxa" w:w="7992"/>
            <w:vAlign w:val="center"/>
            <w:tcMar>
              <w:top w:w="95" w:type="dxa"/>
              <w:left w:w="95" w:type="dxa"/>
              <w:bottom w:w="95" w:type="dxa"/>
              <w:right w:w="95" w:type="dxa"/>
            </w:tcMar>
          </w:tcPr>
          <w:p>
            <w:pPr>
              <w:spacing w:after="40" w:line="252" w:lineRule="auto"/>
            </w:pPr>
            <w:r>
              <w:rPr>
                <w:b w:val="0"/>
                <w:sz w:val="21"/>
              </w:rPr>
              <w:t>Create and edit projects, tasks, dependencies, and calendars. Cannot manage members or workspaces, or delete a project.</w:t>
            </w:r>
          </w:p>
        </w:tc>
      </w:tr>
      <w:tr>
        <w:trPr>
          <w:cantSplit/>
        </w:trPr>
        <w:tc>
          <w:tcPr>
            <w:tcW w:type="dxa" w:w="1656"/>
            <w:vAlign w:val="center"/>
            <w:tcMar>
              <w:top w:w="95" w:type="dxa"/>
              <w:left w:w="95" w:type="dxa"/>
              <w:bottom w:w="95" w:type="dxa"/>
              <w:right w:w="95" w:type="dxa"/>
            </w:tcMar>
          </w:tcPr>
          <w:p>
            <w:pPr>
              <w:spacing w:after="40" w:line="252" w:lineRule="auto"/>
            </w:pPr>
            <w:r>
              <w:rPr>
                <w:b w:val="0"/>
                <w:sz w:val="21"/>
              </w:rPr>
              <w:t>Viewer</w:t>
            </w:r>
          </w:p>
        </w:tc>
        <w:tc>
          <w:tcPr>
            <w:tcW w:type="dxa" w:w="7992"/>
            <w:vAlign w:val="center"/>
            <w:tcMar>
              <w:top w:w="95" w:type="dxa"/>
              <w:left w:w="95" w:type="dxa"/>
              <w:bottom w:w="95" w:type="dxa"/>
              <w:right w:w="95" w:type="dxa"/>
            </w:tcMar>
          </w:tcPr>
          <w:p>
            <w:pPr>
              <w:spacing w:after="40" w:line="252" w:lineRule="auto"/>
            </w:pPr>
            <w:r>
              <w:rPr>
                <w:b w:val="0"/>
                <w:sz w:val="21"/>
              </w:rPr>
              <w:t>Read project information, insights, and schedules, and download calendar exports. Planning forms are read-only.</w:t>
            </w:r>
          </w:p>
        </w:tc>
      </w:tr>
    </w:tbl>
    <w:p>
      <w:pPr>
        <w:pStyle w:val="Heading2"/>
      </w:pPr>
      <w:r>
        <w:t>Create an organization and workspace</w:t>
      </w:r>
    </w:p>
    <w:p>
      <w:pPr>
        <w:pStyle w:val="ListNumber"/>
        <w:numPr>
          <w:ilvl w:val="0"/>
          <w:numId w:val="10"/>
        </w:numPr>
      </w:pPr>
      <w:r>
        <w:t>Select Manage organizations in the top bar. Enter a New organization name and select Create organization. The new organization becomes selected.</w:t>
      </w:r>
    </w:p>
    <w:p>
      <w:pPr>
        <w:pStyle w:val="ListNumber"/>
        <w:numPr>
          <w:ilvl w:val="0"/>
          <w:numId w:val="10"/>
        </w:numPr>
      </w:pPr>
      <w:r>
        <w:t>With that organization selected, open Manage workspaces. Enter a New workspace name and select Create workspace.</w:t>
      </w:r>
    </w:p>
    <w:p>
      <w:pPr>
        <w:pStyle w:val="ListNumber"/>
        <w:numPr>
          <w:ilvl w:val="0"/>
          <w:numId w:val="10"/>
        </w:numPr>
      </w:pPr>
      <w:r>
        <w:t>Use the organization and workspace selectors to change context. The project buttons show projects within the selected workspace.</w:t>
      </w:r>
    </w:p>
    <w:p>
      <w:pPr>
        <w:pStyle w:val="Heading2"/>
      </w:pPr>
      <w:r>
        <w:t>Add members</w:t>
      </w:r>
    </w:p>
    <w:p>
      <w:r>
        <w:t>Select Members, enter the email of an existing user, choose a role, and select Add member. Authorized owners or admins can update roles or remove members. Adding an email does not create a user or send an invitation. The app prevents removing or demoting the last owner.</w:t>
      </w:r>
    </w:p>
    <w:p>
      <w:pPr>
        <w:pStyle w:val="Heading2"/>
      </w:pPr>
      <w:r>
        <w:t>Create or update a project</w:t>
      </w:r>
    </w:p>
    <w:p>
      <w:pPr>
        <w:pStyle w:val="ListNumber"/>
        <w:numPr>
          <w:ilvl w:val="0"/>
          <w:numId w:val="11"/>
        </w:numPr>
      </w:pPr>
      <w:r>
        <w:t>Select + New project. Enter a name and optionally a Start date and Target finish, then select Create project.</w:t>
      </w:r>
    </w:p>
    <w:p>
      <w:pPr>
        <w:pStyle w:val="ListNumber"/>
        <w:numPr>
          <w:ilvl w:val="0"/>
          <w:numId w:val="11"/>
        </w:numPr>
      </w:pPr>
      <w:r>
        <w:t>Select the project in the top navigation. Tasks opens by default.</w:t>
      </w:r>
    </w:p>
    <w:p>
      <w:pPr>
        <w:pStyle w:val="ListNumber"/>
        <w:numPr>
          <w:ilvl w:val="0"/>
          <w:numId w:val="11"/>
        </w:numPr>
      </w:pPr>
      <w:r>
        <w:t>Open Settings to change its name, status, start date, or target finish. Select Save project. Available project statuses are active, on hold, completed, and archived.</w:t>
      </w:r>
    </w:p>
    <w:p>
      <w:r>
        <w:t>Organization and workspace rename controls are in their management dialogs. Deletion asks for confirmation. Deleting a parent also deletes its contained planning data, so read the named confirmation before proceeding.</w:t>
      </w:r>
    </w:p>
    <w:p>
      <w:r>
        <w:br w:type="page"/>
      </w:r>
    </w:p>
    <w:p>
      <w:pPr>
        <w:pStyle w:val="Heading1"/>
      </w:pPr>
      <w:r>
        <w:t>3 Create tasks and dependencies</w:t>
      </w:r>
    </w:p>
    <w:p>
      <w:pPr>
        <w:pStyle w:val="Heading2"/>
      </w:pPr>
      <w:r>
        <w:t>Add a task or milestone</w:t>
      </w:r>
    </w:p>
    <w:p>
      <w:pPr>
        <w:pStyle w:val="ListNumber"/>
        <w:numPr>
          <w:ilvl w:val="0"/>
          <w:numId w:val="12"/>
        </w:numPr>
      </w:pPr>
      <w:r>
        <w:t>Open Tasks and select Add task.</w:t>
      </w:r>
    </w:p>
    <w:p>
      <w:pPr>
        <w:pStyle w:val="ListNumber"/>
        <w:numPr>
          <w:ilvl w:val="0"/>
          <w:numId w:val="12"/>
        </w:numPr>
      </w:pPr>
      <w:r>
        <w:t>Enter New task name. Choose a Parent task only when you want to organize the task beneath another task.</w:t>
      </w:r>
    </w:p>
    <w:p>
      <w:pPr>
        <w:pStyle w:val="ListNumber"/>
        <w:numPr>
          <w:ilvl w:val="0"/>
          <w:numId w:val="12"/>
        </w:numPr>
      </w:pPr>
      <w:r>
        <w:t>Enter Duration in working minutes and a Priority from 1 to 5. The default priority is 3. Select Add task to save.</w:t>
      </w:r>
    </w:p>
    <w:p>
      <w:pPr>
        <w:pStyle w:val="ListNumber"/>
        <w:numPr>
          <w:ilvl w:val="0"/>
          <w:numId w:val="12"/>
        </w:numPr>
      </w:pPr>
      <w:r>
        <w:t>Use a duration of 0 for a milestone. A milestone marks an event and consumes no working time.</w:t>
      </w:r>
    </w:p>
    <w:p>
      <w:r>
        <w:t>Task hierarchy organizes work; it does not create a dependency automatically. Under the default eight-hour working day, 480 minutes represents one working day. Durations do not include overnight or nonworking periods.</w:t>
      </w:r>
    </w:p>
    <w:p>
      <w:pPr>
        <w:pStyle w:val="Heading2"/>
      </w:pPr>
      <w:r>
        <w:t>Edit an existing task</w:t>
      </w:r>
    </w:p>
    <w:p>
      <w:r>
        <w:t>Select a task row to open its details. Update its name, status, progress, duration, priority, or parent, then select Save task. Status can be not started, in progress, blocked, or completed. Progress is a separate value from 0 to 100. Changing progress to 100 does not automatically set the status to completed.</w:t>
      </w:r>
    </w:p>
    <w:p>
      <w:r>
        <w:t>A failed save displays an error and retains the entered values so you can correct and retry. Delete task requires confirmation naming the task. Viewers can inspect details but cannot save or delete them.</w:t>
      </w:r>
    </w:p>
    <w:p>
      <w:pPr>
        <w:pStyle w:val="Heading2"/>
      </w:pPr>
      <w:r>
        <w:t>Connect tasks in the required order</w:t>
      </w:r>
    </w:p>
    <w:p>
      <w:pPr>
        <w:pStyle w:val="ListNumber"/>
        <w:numPr>
          <w:ilvl w:val="0"/>
          <w:numId w:val="13"/>
        </w:numPr>
      </w:pPr>
      <w:r>
        <w:t>Open a task and scroll to Dependencies. Existing links involving that task are listed there.</w:t>
      </w:r>
    </w:p>
    <w:p>
      <w:pPr>
        <w:pStyle w:val="ListNumber"/>
        <w:numPr>
          <w:ilvl w:val="0"/>
          <w:numId w:val="13"/>
        </w:numPr>
      </w:pPr>
      <w:r>
        <w:t>Choose a Predecessor and a different Successor. Select the Dependency type and enter Lag minutes, then select Add dependency.</w:t>
      </w:r>
    </w:p>
    <w:p>
      <w:pPr>
        <w:pStyle w:val="ListNumber"/>
        <w:numPr>
          <w:ilvl w:val="0"/>
          <w:numId w:val="13"/>
        </w:numPr>
      </w:pPr>
      <w:r>
        <w:t>Return to Timeline to inspect the resulting schedule. Delete an unwanted link with Delete dependency and confirm the named relationship.</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936"/>
            <w:vAlign w:val="center"/>
            <w:tcMar>
              <w:top w:w="95" w:type="dxa"/>
              <w:left w:w="95" w:type="dxa"/>
              <w:bottom w:w="95" w:type="dxa"/>
              <w:right w:w="95" w:type="dxa"/>
            </w:tcMar>
            <w:shd w:fill="EEF1F4"/>
          </w:tcPr>
          <w:p>
            <w:pPr>
              <w:spacing w:after="40" w:line="252" w:lineRule="auto"/>
            </w:pPr>
            <w:r>
              <w:rPr>
                <w:b/>
                <w:sz w:val="21"/>
              </w:rPr>
              <w:t>Type</w:t>
            </w:r>
          </w:p>
        </w:tc>
        <w:tc>
          <w:tcPr>
            <w:tcW w:type="dxa" w:w="8712"/>
            <w:vAlign w:val="center"/>
            <w:tcMar>
              <w:top w:w="95" w:type="dxa"/>
              <w:left w:w="95" w:type="dxa"/>
              <w:bottom w:w="95" w:type="dxa"/>
              <w:right w:w="95" w:type="dxa"/>
            </w:tcMar>
            <w:shd w:fill="EEF1F4"/>
          </w:tcPr>
          <w:p>
            <w:pPr>
              <w:spacing w:after="40" w:line="252" w:lineRule="auto"/>
            </w:pPr>
            <w:r>
              <w:rPr>
                <w:b/>
                <w:sz w:val="21"/>
              </w:rPr>
              <w:t>Meaning</w:t>
            </w:r>
          </w:p>
        </w:tc>
      </w:tr>
      <w:tr>
        <w:trPr>
          <w:cantSplit/>
        </w:trPr>
        <w:tc>
          <w:tcPr>
            <w:tcW w:type="dxa" w:w="936"/>
            <w:vAlign w:val="center"/>
            <w:tcMar>
              <w:top w:w="95" w:type="dxa"/>
              <w:left w:w="95" w:type="dxa"/>
              <w:bottom w:w="95" w:type="dxa"/>
              <w:right w:w="95" w:type="dxa"/>
            </w:tcMar>
          </w:tcPr>
          <w:p>
            <w:pPr>
              <w:spacing w:after="40" w:line="252" w:lineRule="auto"/>
            </w:pPr>
            <w:r>
              <w:rPr>
                <w:b w:val="0"/>
                <w:sz w:val="21"/>
              </w:rPr>
              <w:t>FS</w:t>
            </w:r>
          </w:p>
        </w:tc>
        <w:tc>
          <w:tcPr>
            <w:tcW w:type="dxa" w:w="8712"/>
            <w:vAlign w:val="center"/>
            <w:tcMar>
              <w:top w:w="95" w:type="dxa"/>
              <w:left w:w="95" w:type="dxa"/>
              <w:bottom w:w="95" w:type="dxa"/>
              <w:right w:w="95" w:type="dxa"/>
            </w:tcMar>
          </w:tcPr>
          <w:p>
            <w:pPr>
              <w:spacing w:after="40" w:line="252" w:lineRule="auto"/>
            </w:pPr>
            <w:r>
              <w:rPr>
                <w:b w:val="0"/>
                <w:sz w:val="21"/>
              </w:rPr>
              <w:t>Finish to start: the successor starts after the predecessor finishes. This is the usual sequence.</w:t>
            </w:r>
          </w:p>
        </w:tc>
      </w:tr>
      <w:tr>
        <w:trPr>
          <w:cantSplit/>
        </w:trPr>
        <w:tc>
          <w:tcPr>
            <w:tcW w:type="dxa" w:w="936"/>
            <w:vAlign w:val="center"/>
            <w:tcMar>
              <w:top w:w="95" w:type="dxa"/>
              <w:left w:w="95" w:type="dxa"/>
              <w:bottom w:w="95" w:type="dxa"/>
              <w:right w:w="95" w:type="dxa"/>
            </w:tcMar>
          </w:tcPr>
          <w:p>
            <w:pPr>
              <w:spacing w:after="40" w:line="252" w:lineRule="auto"/>
            </w:pPr>
            <w:r>
              <w:rPr>
                <w:b w:val="0"/>
                <w:sz w:val="21"/>
              </w:rPr>
              <w:t>SS</w:t>
            </w:r>
          </w:p>
        </w:tc>
        <w:tc>
          <w:tcPr>
            <w:tcW w:type="dxa" w:w="8712"/>
            <w:vAlign w:val="center"/>
            <w:tcMar>
              <w:top w:w="95" w:type="dxa"/>
              <w:left w:w="95" w:type="dxa"/>
              <w:bottom w:w="95" w:type="dxa"/>
              <w:right w:w="95" w:type="dxa"/>
            </w:tcMar>
          </w:tcPr>
          <w:p>
            <w:pPr>
              <w:spacing w:after="40" w:line="252" w:lineRule="auto"/>
            </w:pPr>
            <w:r>
              <w:rPr>
                <w:b w:val="0"/>
                <w:sz w:val="21"/>
              </w:rPr>
              <w:t>Start to start: the successor cannot start before the predecessor starts, plus any lag.</w:t>
            </w:r>
          </w:p>
        </w:tc>
      </w:tr>
      <w:tr>
        <w:trPr>
          <w:cantSplit/>
        </w:trPr>
        <w:tc>
          <w:tcPr>
            <w:tcW w:type="dxa" w:w="936"/>
            <w:vAlign w:val="center"/>
            <w:tcMar>
              <w:top w:w="95" w:type="dxa"/>
              <w:left w:w="95" w:type="dxa"/>
              <w:bottom w:w="95" w:type="dxa"/>
              <w:right w:w="95" w:type="dxa"/>
            </w:tcMar>
          </w:tcPr>
          <w:p>
            <w:pPr>
              <w:spacing w:after="40" w:line="252" w:lineRule="auto"/>
            </w:pPr>
            <w:r>
              <w:rPr>
                <w:b w:val="0"/>
                <w:sz w:val="21"/>
              </w:rPr>
              <w:t>FF</w:t>
            </w:r>
          </w:p>
        </w:tc>
        <w:tc>
          <w:tcPr>
            <w:tcW w:type="dxa" w:w="8712"/>
            <w:vAlign w:val="center"/>
            <w:tcMar>
              <w:top w:w="95" w:type="dxa"/>
              <w:left w:w="95" w:type="dxa"/>
              <w:bottom w:w="95" w:type="dxa"/>
              <w:right w:w="95" w:type="dxa"/>
            </w:tcMar>
          </w:tcPr>
          <w:p>
            <w:pPr>
              <w:spacing w:after="40" w:line="252" w:lineRule="auto"/>
            </w:pPr>
            <w:r>
              <w:rPr>
                <w:b w:val="0"/>
                <w:sz w:val="21"/>
              </w:rPr>
              <w:t>Finish to finish: the successor cannot finish before the predecessor finishes, plus any lag.</w:t>
            </w:r>
          </w:p>
        </w:tc>
      </w:tr>
      <w:tr>
        <w:trPr>
          <w:cantSplit/>
        </w:trPr>
        <w:tc>
          <w:tcPr>
            <w:tcW w:type="dxa" w:w="936"/>
            <w:vAlign w:val="center"/>
            <w:tcMar>
              <w:top w:w="95" w:type="dxa"/>
              <w:left w:w="95" w:type="dxa"/>
              <w:bottom w:w="95" w:type="dxa"/>
              <w:right w:w="95" w:type="dxa"/>
            </w:tcMar>
          </w:tcPr>
          <w:p>
            <w:pPr>
              <w:spacing w:after="40" w:line="252" w:lineRule="auto"/>
            </w:pPr>
            <w:r>
              <w:rPr>
                <w:b w:val="0"/>
                <w:sz w:val="21"/>
              </w:rPr>
              <w:t>SF</w:t>
            </w:r>
          </w:p>
        </w:tc>
        <w:tc>
          <w:tcPr>
            <w:tcW w:type="dxa" w:w="8712"/>
            <w:vAlign w:val="center"/>
            <w:tcMar>
              <w:top w:w="95" w:type="dxa"/>
              <w:left w:w="95" w:type="dxa"/>
              <w:bottom w:w="95" w:type="dxa"/>
              <w:right w:w="95" w:type="dxa"/>
            </w:tcMar>
          </w:tcPr>
          <w:p>
            <w:pPr>
              <w:spacing w:after="40" w:line="252" w:lineRule="auto"/>
            </w:pPr>
            <w:r>
              <w:rPr>
                <w:b w:val="0"/>
                <w:sz w:val="21"/>
              </w:rPr>
              <w:t>Start to finish: the successor cannot finish before the predecessor starts, plus any lag.</w:t>
            </w:r>
          </w:p>
        </w:tc>
      </w:tr>
    </w:tbl>
    <w:p>
      <w:r>
        <w:t>Lag is measured in working minutes. Positive lag adds a delay; negative lag permits a lead subject to scheduling rules. The app rejects self-links, duplicate equivalent links, cross-project links, and cycles such as A depending on B while B depends on A.</w:t>
      </w:r>
    </w:p>
    <w:p>
      <w:r>
        <w:br w:type="page"/>
      </w:r>
    </w:p>
    <w:p>
      <w:pPr>
        <w:pStyle w:val="Heading1"/>
      </w:pPr>
      <w:r>
        <w:t>4 Configure the calendar and inspect the timeline</w:t>
      </w:r>
    </w:p>
    <w:p>
      <w:pPr>
        <w:pStyle w:val="Heading2"/>
      </w:pPr>
      <w:r>
        <w:t>Set working hours</w:t>
      </w:r>
    </w:p>
    <w:p>
      <w:pPr>
        <w:pStyle w:val="ListNumber"/>
        <w:numPr>
          <w:ilvl w:val="0"/>
          <w:numId w:val="14"/>
        </w:numPr>
      </w:pPr>
      <w:r>
        <w:t>Open Settings and find Working calendar.</w:t>
      </w:r>
    </w:p>
    <w:p>
      <w:pPr>
        <w:pStyle w:val="ListNumber"/>
        <w:numPr>
          <w:ilvl w:val="0"/>
          <w:numId w:val="14"/>
        </w:numPr>
      </w:pPr>
      <w:r>
        <w:t>Enter a valid IANA Calendar timezone, such as UTC or Asia/Kolkata.</w:t>
      </w:r>
    </w:p>
    <w:p>
      <w:pPr>
        <w:pStyle w:val="ListNumber"/>
        <w:numPr>
          <w:ilvl w:val="0"/>
          <w:numId w:val="14"/>
        </w:numPr>
      </w:pPr>
      <w:r>
        <w:t>Enable each working weekday and set its start and end times. Select Save calendar.</w:t>
      </w:r>
    </w:p>
    <w:p>
      <w:pPr>
        <w:pStyle w:val="ListNumber"/>
        <w:numPr>
          <w:ilvl w:val="0"/>
          <w:numId w:val="14"/>
        </w:numPr>
      </w:pPr>
      <w:r>
        <w:t>Open Timeline to review the schedule using the updated calendar.</w:t>
      </w:r>
    </w:p>
    <w:p>
      <w:r>
        <w:t>New projects start with a UTC calendar, Monday to Friday, 09:00 to 17:00. Nonworking periods are skipped during scheduling. The website edits one working window per day and preserves existing date exceptions. Multiple daily intervals and holiday exceptions are supported by the API, but do not have a full editor in this interface.</w:t>
      </w:r>
    </w:p>
    <w:p>
      <w:pPr>
        <w:pStyle w:val="Heading2"/>
      </w:pPr>
      <w:r>
        <w:t>Read the schedule</w:t>
      </w:r>
    </w:p>
    <w:p>
      <w:r>
        <w:t>Timeline displays the calculated project date range, warnings, and Gantt chart. Select Recalculate to reload the current schedule. Scheduling uses task durations, dependency relationships, working hours, and any stored constraints.</w:t>
      </w:r>
    </w:p>
    <w:p>
      <w:pPr>
        <w:pStyle w:val="ListBullet"/>
      </w:pPr>
      <w:r>
        <w:t>Task bars show when work is scheduled. A diamond represents a milestone. The legend identifies critical tasks, float, and milestones.</w:t>
      </w:r>
    </w:p>
    <w:p>
      <w:pPr>
        <w:pStyle w:val="ListBullet"/>
      </w:pPr>
      <w:r>
        <w:t>Critical tasks have zero total float under the current scheduling assumptions. Their timing needs attention because delays can affect the calculated finish.</w:t>
      </w:r>
    </w:p>
    <w:p>
      <w:pPr>
        <w:pStyle w:val="ListBullet"/>
      </w:pPr>
      <w:r>
        <w:t>Float is the working time by which a task can move within the calculated limits. A missed target finish can produce negative float and a warning.</w:t>
      </w:r>
    </w:p>
    <w:p>
      <w:pPr>
        <w:pStyle w:val="ListBullet"/>
      </w:pPr>
      <w:r>
        <w:t>Expand Schedule details and float for each task name, start, finish, total float in minutes, and critical flag.</w:t>
      </w:r>
    </w:p>
    <w:p>
      <w:r>
        <w:t>The Gantt chart is read-only. Change task durations, dependencies, or project settings to adjust the plan; dragging or resizing bars is not supported. Wide timelines scroll inside the chart.</w:t>
      </w:r>
    </w:p>
    <w:p>
      <w:pPr>
        <w:pStyle w:val="Heading2"/>
      </w:pPr>
      <w:r>
        <w:t>Interpret dates and warnings</w:t>
      </w:r>
    </w:p>
    <w:p>
      <w:r>
        <w:t>If Start date is blank, scheduling uses today in the project calendar timezone and displays a warning. A nonworking start is moved to the next working instant. Target finish is an advisory scheduling boundary; missing it does not automatically reject the plan. Conflicting hard constraints can prevent calculation and must be corrected.</w:t>
      </w:r>
    </w:p>
    <w:p>
      <w:pPr>
        <w:pStyle w:val="Heading2"/>
      </w:pPr>
      <w:r>
        <w:t>Export project dates</w:t>
      </w:r>
    </w:p>
    <w:p>
      <w:r>
        <w:t>Select Export calendar in Timeline to download an ICS file. Import that file using your calendar application. The export contains project task dates, including milestones; it is a snapshot rather than a live connection. Re-export after changing the plan. The exporter uses date-based calendar events, so it should not be treated as a minute-by-minute appointment schedule.</w:t>
      </w:r>
    </w:p>
    <w:p>
      <w:r>
        <w:br w:type="page"/>
      </w:r>
    </w:p>
    <w:p>
      <w:pPr>
        <w:pStyle w:val="Heading1"/>
      </w:pPr>
      <w:r>
        <w:t>5 Understand project insights and try an example</w:t>
      </w:r>
    </w:p>
    <w:p>
      <w:pPr>
        <w:pStyle w:val="Heading2"/>
      </w:pPr>
      <w:r>
        <w:t>Read the summary</w:t>
      </w:r>
    </w:p>
    <w:p>
      <w:r>
        <w:t>The Tasks view shows Total tasks, Completed, and Completion. Expand Project insights to see status counts and duration statistics. Insights refresh after task changes and project switching. A summary error does not prevent task editing.</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2088"/>
            <w:vAlign w:val="center"/>
            <w:tcMar>
              <w:top w:w="95" w:type="dxa"/>
              <w:left w:w="95" w:type="dxa"/>
              <w:bottom w:w="95" w:type="dxa"/>
              <w:right w:w="95" w:type="dxa"/>
            </w:tcMar>
            <w:shd w:fill="EEF1F4"/>
          </w:tcPr>
          <w:p>
            <w:pPr>
              <w:spacing w:after="40" w:line="252" w:lineRule="auto"/>
            </w:pPr>
            <w:r>
              <w:rPr>
                <w:b/>
                <w:sz w:val="21"/>
              </w:rPr>
              <w:t>Measure</w:t>
            </w:r>
          </w:p>
        </w:tc>
        <w:tc>
          <w:tcPr>
            <w:tcW w:type="dxa" w:w="7560"/>
            <w:vAlign w:val="center"/>
            <w:tcMar>
              <w:top w:w="95" w:type="dxa"/>
              <w:left w:w="95" w:type="dxa"/>
              <w:bottom w:w="95" w:type="dxa"/>
              <w:right w:w="95" w:type="dxa"/>
            </w:tcMar>
            <w:shd w:fill="EEF1F4"/>
          </w:tcPr>
          <w:p>
            <w:pPr>
              <w:spacing w:after="40" w:line="252" w:lineRule="auto"/>
            </w:pPr>
            <w:r>
              <w:rPr>
                <w:b/>
                <w:sz w:val="21"/>
              </w:rPr>
              <w:t>How it is calculated</w:t>
            </w:r>
          </w:p>
        </w:tc>
      </w:tr>
      <w:tr>
        <w:trPr>
          <w:cantSplit/>
        </w:trPr>
        <w:tc>
          <w:tcPr>
            <w:tcW w:type="dxa" w:w="2088"/>
            <w:vAlign w:val="center"/>
            <w:tcMar>
              <w:top w:w="95" w:type="dxa"/>
              <w:left w:w="95" w:type="dxa"/>
              <w:bottom w:w="95" w:type="dxa"/>
              <w:right w:w="95" w:type="dxa"/>
            </w:tcMar>
          </w:tcPr>
          <w:p>
            <w:pPr>
              <w:spacing w:after="40" w:line="252" w:lineRule="auto"/>
            </w:pPr>
            <w:r>
              <w:rPr>
                <w:b w:val="0"/>
                <w:sz w:val="21"/>
              </w:rPr>
              <w:t>Total tasks</w:t>
            </w:r>
          </w:p>
        </w:tc>
        <w:tc>
          <w:tcPr>
            <w:tcW w:type="dxa" w:w="7560"/>
            <w:vAlign w:val="center"/>
            <w:tcMar>
              <w:top w:w="95" w:type="dxa"/>
              <w:left w:w="95" w:type="dxa"/>
              <w:bottom w:w="95" w:type="dxa"/>
              <w:right w:w="95" w:type="dxa"/>
            </w:tcMar>
          </w:tcPr>
          <w:p>
            <w:pPr>
              <w:spacing w:after="40" w:line="252" w:lineRule="auto"/>
            </w:pPr>
            <w:r>
              <w:rPr>
                <w:b w:val="0"/>
                <w:sz w:val="21"/>
              </w:rPr>
              <w:t>Every task in the project, including zero-duration milestones.</w:t>
            </w:r>
          </w:p>
        </w:tc>
      </w:tr>
      <w:tr>
        <w:trPr>
          <w:cantSplit/>
        </w:trPr>
        <w:tc>
          <w:tcPr>
            <w:tcW w:type="dxa" w:w="2088"/>
            <w:vAlign w:val="center"/>
            <w:tcMar>
              <w:top w:w="95" w:type="dxa"/>
              <w:left w:w="95" w:type="dxa"/>
              <w:bottom w:w="95" w:type="dxa"/>
              <w:right w:w="95" w:type="dxa"/>
            </w:tcMar>
          </w:tcPr>
          <w:p>
            <w:pPr>
              <w:spacing w:after="40" w:line="252" w:lineRule="auto"/>
            </w:pPr>
            <w:r>
              <w:rPr>
                <w:b w:val="0"/>
                <w:sz w:val="21"/>
              </w:rPr>
              <w:t>Completed</w:t>
            </w:r>
          </w:p>
        </w:tc>
        <w:tc>
          <w:tcPr>
            <w:tcW w:type="dxa" w:w="7560"/>
            <w:vAlign w:val="center"/>
            <w:tcMar>
              <w:top w:w="95" w:type="dxa"/>
              <w:left w:w="95" w:type="dxa"/>
              <w:bottom w:w="95" w:type="dxa"/>
              <w:right w:w="95" w:type="dxa"/>
            </w:tcMar>
          </w:tcPr>
          <w:p>
            <w:pPr>
              <w:spacing w:after="40" w:line="252" w:lineRule="auto"/>
            </w:pPr>
            <w:r>
              <w:rPr>
                <w:b w:val="0"/>
                <w:sz w:val="21"/>
              </w:rPr>
              <w:t>Tasks whose status is completed. Progress percentages are not used.</w:t>
            </w:r>
          </w:p>
        </w:tc>
      </w:tr>
      <w:tr>
        <w:trPr>
          <w:cantSplit/>
        </w:trPr>
        <w:tc>
          <w:tcPr>
            <w:tcW w:type="dxa" w:w="2088"/>
            <w:vAlign w:val="center"/>
            <w:tcMar>
              <w:top w:w="95" w:type="dxa"/>
              <w:left w:w="95" w:type="dxa"/>
              <w:bottom w:w="95" w:type="dxa"/>
              <w:right w:w="95" w:type="dxa"/>
            </w:tcMar>
          </w:tcPr>
          <w:p>
            <w:pPr>
              <w:spacing w:after="40" w:line="252" w:lineRule="auto"/>
            </w:pPr>
            <w:r>
              <w:rPr>
                <w:b w:val="0"/>
                <w:sz w:val="21"/>
              </w:rPr>
              <w:t>Completion</w:t>
            </w:r>
          </w:p>
        </w:tc>
        <w:tc>
          <w:tcPr>
            <w:tcW w:type="dxa" w:w="7560"/>
            <w:vAlign w:val="center"/>
            <w:tcMar>
              <w:top w:w="95" w:type="dxa"/>
              <w:left w:w="95" w:type="dxa"/>
              <w:bottom w:w="95" w:type="dxa"/>
              <w:right w:w="95" w:type="dxa"/>
            </w:tcMar>
          </w:tcPr>
          <w:p>
            <w:pPr>
              <w:spacing w:after="40" w:line="252" w:lineRule="auto"/>
            </w:pPr>
            <w:r>
              <w:rPr>
                <w:b w:val="0"/>
                <w:sz w:val="21"/>
              </w:rPr>
              <w:t>Completed tasks divided by total tasks, multiplied by 100. An empty project shows 0 percent.</w:t>
            </w:r>
          </w:p>
        </w:tc>
      </w:tr>
      <w:tr>
        <w:trPr>
          <w:cantSplit/>
        </w:trPr>
        <w:tc>
          <w:tcPr>
            <w:tcW w:type="dxa" w:w="2088"/>
            <w:vAlign w:val="center"/>
            <w:tcMar>
              <w:top w:w="95" w:type="dxa"/>
              <w:left w:w="95" w:type="dxa"/>
              <w:bottom w:w="95" w:type="dxa"/>
              <w:right w:w="95" w:type="dxa"/>
            </w:tcMar>
          </w:tcPr>
          <w:p>
            <w:pPr>
              <w:spacing w:after="40" w:line="252" w:lineRule="auto"/>
            </w:pPr>
            <w:r>
              <w:rPr>
                <w:b w:val="0"/>
                <w:sz w:val="21"/>
              </w:rPr>
              <w:t>Mean and median</w:t>
            </w:r>
          </w:p>
        </w:tc>
        <w:tc>
          <w:tcPr>
            <w:tcW w:type="dxa" w:w="7560"/>
            <w:vAlign w:val="center"/>
            <w:tcMar>
              <w:top w:w="95" w:type="dxa"/>
              <w:left w:w="95" w:type="dxa"/>
              <w:bottom w:w="95" w:type="dxa"/>
              <w:right w:w="95" w:type="dxa"/>
            </w:tcMar>
          </w:tcPr>
          <w:p>
            <w:pPr>
              <w:spacing w:after="40" w:line="252" w:lineRule="auto"/>
            </w:pPr>
            <w:r>
              <w:rPr>
                <w:b w:val="0"/>
                <w:sz w:val="21"/>
              </w:rPr>
              <w:t>Average and middle duration among tasks with positive working-minute durations.</w:t>
            </w:r>
          </w:p>
        </w:tc>
      </w:tr>
      <w:tr>
        <w:trPr>
          <w:cantSplit/>
        </w:trPr>
        <w:tc>
          <w:tcPr>
            <w:tcW w:type="dxa" w:w="2088"/>
            <w:vAlign w:val="center"/>
            <w:tcMar>
              <w:top w:w="95" w:type="dxa"/>
              <w:left w:w="95" w:type="dxa"/>
              <w:bottom w:w="95" w:type="dxa"/>
              <w:right w:w="95" w:type="dxa"/>
            </w:tcMar>
          </w:tcPr>
          <w:p>
            <w:pPr>
              <w:spacing w:after="40" w:line="252" w:lineRule="auto"/>
            </w:pPr>
            <w:r>
              <w:rPr>
                <w:b w:val="0"/>
                <w:sz w:val="21"/>
              </w:rPr>
              <w:t>90th percentile</w:t>
            </w:r>
          </w:p>
        </w:tc>
        <w:tc>
          <w:tcPr>
            <w:tcW w:type="dxa" w:w="7560"/>
            <w:vAlign w:val="center"/>
            <w:tcMar>
              <w:top w:w="95" w:type="dxa"/>
              <w:left w:w="95" w:type="dxa"/>
              <w:bottom w:w="95" w:type="dxa"/>
              <w:right w:w="95" w:type="dxa"/>
            </w:tcMar>
          </w:tcPr>
          <w:p>
            <w:pPr>
              <w:spacing w:after="40" w:line="252" w:lineRule="auto"/>
            </w:pPr>
            <w:r>
              <w:rPr>
                <w:b w:val="0"/>
                <w:sz w:val="21"/>
              </w:rPr>
              <w:t>An interpolated duration value at the 90th percentile of positive task durations.</w:t>
            </w:r>
          </w:p>
        </w:tc>
      </w:tr>
    </w:tbl>
    <w:p>
      <w:r>
        <w:t>pandas groups tasks by status and supplies the counts used for completion. NumPy calculates mean, median, and the 90th percentile. Milestones are excluded from duration statistics. An empty or milestone-only project displays no duration statistics. These values describe individual tasks; they do not predict elapsed project length or deadline confidence.</w:t>
      </w:r>
    </w:p>
    <w:p>
      <w:pPr>
        <w:pStyle w:val="Heading2"/>
      </w:pPr>
      <w:r>
        <w:t>Worked example</w:t>
      </w:r>
    </w:p>
    <w:p>
      <w:r>
        <w:t>Create a project called Website Launch. Set Start date to 2 November 2026, leave Target finish empty, and retain the UTC Monday to Friday 09:00 to 17:00 calendar. Add these tasks with no parent:</w:t>
      </w:r>
    </w:p>
    <w:tbl>
      <w:tblPr>
        <w:tblW w:type="auto" w:w="0"/>
        <w:jc w:val="center"/>
        <w:tblLayout w:type="fixed"/>
        <w:tblLook w:firstColumn="1" w:firstRow="1" w:lastColumn="0" w:lastRow="0" w:noHBand="0" w:noVBand="1" w:val="04A0"/>
      </w:tblPr>
      <w:tblGrid>
        <w:gridCol w:w="3250"/>
        <w:gridCol w:w="3250"/>
        <w:gridCol w:w="3250"/>
      </w:tblGrid>
      <w:tr>
        <w:trPr>
          <w:cantSplit/>
          <w:tblHeader/>
        </w:trPr>
        <w:tc>
          <w:tcPr>
            <w:tcW w:type="dxa" w:w="1584"/>
            <w:vAlign w:val="center"/>
            <w:tcMar>
              <w:top w:w="95" w:type="dxa"/>
              <w:left w:w="95" w:type="dxa"/>
              <w:bottom w:w="95" w:type="dxa"/>
              <w:right w:w="95" w:type="dxa"/>
            </w:tcMar>
            <w:shd w:fill="EEF1F4"/>
          </w:tcPr>
          <w:p>
            <w:pPr>
              <w:spacing w:after="40" w:line="252" w:lineRule="auto"/>
            </w:pPr>
            <w:r>
              <w:rPr>
                <w:b/>
                <w:sz w:val="21"/>
              </w:rPr>
              <w:t>Task</w:t>
            </w:r>
          </w:p>
        </w:tc>
        <w:tc>
          <w:tcPr>
            <w:tcW w:type="dxa" w:w="2376"/>
            <w:vAlign w:val="center"/>
            <w:tcMar>
              <w:top w:w="95" w:type="dxa"/>
              <w:left w:w="95" w:type="dxa"/>
              <w:bottom w:w="95" w:type="dxa"/>
              <w:right w:w="95" w:type="dxa"/>
            </w:tcMar>
            <w:shd w:fill="EEF1F4"/>
          </w:tcPr>
          <w:p>
            <w:pPr>
              <w:spacing w:after="40" w:line="252" w:lineRule="auto"/>
            </w:pPr>
            <w:r>
              <w:rPr>
                <w:b/>
                <w:sz w:val="21"/>
              </w:rPr>
              <w:t>Duration in minutes</w:t>
            </w:r>
          </w:p>
        </w:tc>
        <w:tc>
          <w:tcPr>
            <w:tcW w:type="dxa" w:w="5688"/>
            <w:vAlign w:val="center"/>
            <w:tcMar>
              <w:top w:w="95" w:type="dxa"/>
              <w:left w:w="95" w:type="dxa"/>
              <w:bottom w:w="95" w:type="dxa"/>
              <w:right w:w="95" w:type="dxa"/>
            </w:tcMar>
            <w:shd w:fill="EEF1F4"/>
          </w:tcPr>
          <w:p>
            <w:pPr>
              <w:spacing w:after="40" w:line="252" w:lineRule="auto"/>
            </w:pPr>
            <w:r>
              <w:rPr>
                <w:b/>
                <w:sz w:val="21"/>
              </w:rPr>
              <w:t>Dependency</w:t>
            </w:r>
          </w:p>
        </w:tc>
      </w:tr>
      <w:tr>
        <w:trPr>
          <w:cantSplit/>
        </w:trPr>
        <w:tc>
          <w:tcPr>
            <w:tcW w:type="dxa" w:w="1584"/>
            <w:vAlign w:val="center"/>
            <w:tcMar>
              <w:top w:w="95" w:type="dxa"/>
              <w:left w:w="95" w:type="dxa"/>
              <w:bottom w:w="95" w:type="dxa"/>
              <w:right w:w="95" w:type="dxa"/>
            </w:tcMar>
          </w:tcPr>
          <w:p>
            <w:pPr>
              <w:spacing w:after="40" w:line="252" w:lineRule="auto"/>
            </w:pPr>
            <w:r>
              <w:rPr>
                <w:b w:val="0"/>
                <w:sz w:val="21"/>
              </w:rPr>
              <w:t>Draft</w:t>
            </w:r>
          </w:p>
        </w:tc>
        <w:tc>
          <w:tcPr>
            <w:tcW w:type="dxa" w:w="2376"/>
            <w:vAlign w:val="center"/>
            <w:tcMar>
              <w:top w:w="95" w:type="dxa"/>
              <w:left w:w="95" w:type="dxa"/>
              <w:bottom w:w="95" w:type="dxa"/>
              <w:right w:w="95" w:type="dxa"/>
            </w:tcMar>
          </w:tcPr>
          <w:p>
            <w:pPr>
              <w:spacing w:after="40" w:line="252" w:lineRule="auto"/>
            </w:pPr>
            <w:r>
              <w:rPr>
                <w:b w:val="0"/>
                <w:sz w:val="21"/>
              </w:rPr>
              <w:t>480</w:t>
            </w:r>
          </w:p>
        </w:tc>
        <w:tc>
          <w:tcPr>
            <w:tcW w:type="dxa" w:w="5688"/>
            <w:vAlign w:val="center"/>
            <w:tcMar>
              <w:top w:w="95" w:type="dxa"/>
              <w:left w:w="95" w:type="dxa"/>
              <w:bottom w:w="95" w:type="dxa"/>
              <w:right w:w="95" w:type="dxa"/>
            </w:tcMar>
          </w:tcPr>
          <w:p>
            <w:pPr>
              <w:spacing w:after="40" w:line="252" w:lineRule="auto"/>
            </w:pPr>
            <w:r>
              <w:rPr>
                <w:b w:val="0"/>
                <w:sz w:val="21"/>
              </w:rPr>
              <w:t>None</w:t>
            </w:r>
          </w:p>
        </w:tc>
      </w:tr>
      <w:tr>
        <w:trPr>
          <w:cantSplit/>
        </w:trPr>
        <w:tc>
          <w:tcPr>
            <w:tcW w:type="dxa" w:w="1584"/>
            <w:vAlign w:val="center"/>
            <w:tcMar>
              <w:top w:w="95" w:type="dxa"/>
              <w:left w:w="95" w:type="dxa"/>
              <w:bottom w:w="95" w:type="dxa"/>
              <w:right w:w="95" w:type="dxa"/>
            </w:tcMar>
          </w:tcPr>
          <w:p>
            <w:pPr>
              <w:spacing w:after="40" w:line="252" w:lineRule="auto"/>
            </w:pPr>
            <w:r>
              <w:rPr>
                <w:b w:val="0"/>
                <w:sz w:val="21"/>
              </w:rPr>
              <w:t>Build</w:t>
            </w:r>
          </w:p>
        </w:tc>
        <w:tc>
          <w:tcPr>
            <w:tcW w:type="dxa" w:w="2376"/>
            <w:vAlign w:val="center"/>
            <w:tcMar>
              <w:top w:w="95" w:type="dxa"/>
              <w:left w:w="95" w:type="dxa"/>
              <w:bottom w:w="95" w:type="dxa"/>
              <w:right w:w="95" w:type="dxa"/>
            </w:tcMar>
          </w:tcPr>
          <w:p>
            <w:pPr>
              <w:spacing w:after="40" w:line="252" w:lineRule="auto"/>
            </w:pPr>
            <w:r>
              <w:rPr>
                <w:b w:val="0"/>
                <w:sz w:val="21"/>
              </w:rPr>
              <w:t>960</w:t>
            </w:r>
          </w:p>
        </w:tc>
        <w:tc>
          <w:tcPr>
            <w:tcW w:type="dxa" w:w="5688"/>
            <w:vAlign w:val="center"/>
            <w:tcMar>
              <w:top w:w="95" w:type="dxa"/>
              <w:left w:w="95" w:type="dxa"/>
              <w:bottom w:w="95" w:type="dxa"/>
              <w:right w:w="95" w:type="dxa"/>
            </w:tcMar>
          </w:tcPr>
          <w:p>
            <w:pPr>
              <w:spacing w:after="40" w:line="252" w:lineRule="auto"/>
            </w:pPr>
            <w:r>
              <w:rPr>
                <w:b w:val="0"/>
                <w:sz w:val="21"/>
              </w:rPr>
              <w:t>Draft to Build with FS and lag 0</w:t>
            </w:r>
          </w:p>
        </w:tc>
      </w:tr>
      <w:tr>
        <w:trPr>
          <w:cantSplit/>
        </w:trPr>
        <w:tc>
          <w:tcPr>
            <w:tcW w:type="dxa" w:w="1584"/>
            <w:vAlign w:val="center"/>
            <w:tcMar>
              <w:top w:w="95" w:type="dxa"/>
              <w:left w:w="95" w:type="dxa"/>
              <w:bottom w:w="95" w:type="dxa"/>
              <w:right w:w="95" w:type="dxa"/>
            </w:tcMar>
          </w:tcPr>
          <w:p>
            <w:pPr>
              <w:spacing w:after="40" w:line="252" w:lineRule="auto"/>
            </w:pPr>
            <w:r>
              <w:rPr>
                <w:b w:val="0"/>
                <w:sz w:val="21"/>
              </w:rPr>
              <w:t>Review</w:t>
            </w:r>
          </w:p>
        </w:tc>
        <w:tc>
          <w:tcPr>
            <w:tcW w:type="dxa" w:w="2376"/>
            <w:vAlign w:val="center"/>
            <w:tcMar>
              <w:top w:w="95" w:type="dxa"/>
              <w:left w:w="95" w:type="dxa"/>
              <w:bottom w:w="95" w:type="dxa"/>
              <w:right w:w="95" w:type="dxa"/>
            </w:tcMar>
          </w:tcPr>
          <w:p>
            <w:pPr>
              <w:spacing w:after="40" w:line="252" w:lineRule="auto"/>
            </w:pPr>
            <w:r>
              <w:rPr>
                <w:b w:val="0"/>
                <w:sz w:val="21"/>
              </w:rPr>
              <w:t>480</w:t>
            </w:r>
          </w:p>
        </w:tc>
        <w:tc>
          <w:tcPr>
            <w:tcW w:type="dxa" w:w="5688"/>
            <w:vAlign w:val="center"/>
            <w:tcMar>
              <w:top w:w="95" w:type="dxa"/>
              <w:left w:w="95" w:type="dxa"/>
              <w:bottom w:w="95" w:type="dxa"/>
              <w:right w:w="95" w:type="dxa"/>
            </w:tcMar>
          </w:tcPr>
          <w:p>
            <w:pPr>
              <w:spacing w:after="40" w:line="252" w:lineRule="auto"/>
            </w:pPr>
            <w:r>
              <w:rPr>
                <w:b w:val="0"/>
                <w:sz w:val="21"/>
              </w:rPr>
              <w:t>Build to Review with FS and lag 0</w:t>
            </w:r>
          </w:p>
        </w:tc>
      </w:tr>
      <w:tr>
        <w:trPr>
          <w:cantSplit/>
        </w:trPr>
        <w:tc>
          <w:tcPr>
            <w:tcW w:type="dxa" w:w="1584"/>
            <w:vAlign w:val="center"/>
            <w:tcMar>
              <w:top w:w="95" w:type="dxa"/>
              <w:left w:w="95" w:type="dxa"/>
              <w:bottom w:w="95" w:type="dxa"/>
              <w:right w:w="95" w:type="dxa"/>
            </w:tcMar>
          </w:tcPr>
          <w:p>
            <w:pPr>
              <w:spacing w:after="40" w:line="252" w:lineRule="auto"/>
            </w:pPr>
            <w:r>
              <w:rPr>
                <w:b w:val="0"/>
                <w:sz w:val="21"/>
              </w:rPr>
              <w:t>Launch</w:t>
            </w:r>
          </w:p>
        </w:tc>
        <w:tc>
          <w:tcPr>
            <w:tcW w:type="dxa" w:w="2376"/>
            <w:vAlign w:val="center"/>
            <w:tcMar>
              <w:top w:w="95" w:type="dxa"/>
              <w:left w:w="95" w:type="dxa"/>
              <w:bottom w:w="95" w:type="dxa"/>
              <w:right w:w="95" w:type="dxa"/>
            </w:tcMar>
          </w:tcPr>
          <w:p>
            <w:pPr>
              <w:spacing w:after="40" w:line="252" w:lineRule="auto"/>
            </w:pPr>
            <w:r>
              <w:rPr>
                <w:b w:val="0"/>
                <w:sz w:val="21"/>
              </w:rPr>
              <w:t>0</w:t>
            </w:r>
          </w:p>
        </w:tc>
        <w:tc>
          <w:tcPr>
            <w:tcW w:type="dxa" w:w="5688"/>
            <w:vAlign w:val="center"/>
            <w:tcMar>
              <w:top w:w="95" w:type="dxa"/>
              <w:left w:w="95" w:type="dxa"/>
              <w:bottom w:w="95" w:type="dxa"/>
              <w:right w:w="95" w:type="dxa"/>
            </w:tcMar>
          </w:tcPr>
          <w:p>
            <w:pPr>
              <w:spacing w:after="40" w:line="252" w:lineRule="auto"/>
            </w:pPr>
            <w:r>
              <w:rPr>
                <w:b w:val="0"/>
                <w:sz w:val="21"/>
              </w:rPr>
              <w:t>Review to Launch with FS and lag 0</w:t>
            </w:r>
          </w:p>
        </w:tc>
      </w:tr>
    </w:tbl>
    <w:p>
      <w:r>
        <w:t>Open Timeline. With these inputs, Draft occupies Monday, Build occupies Tuesday and Wednesday, and Review occupies Thursday. Launch marks the finish event on Thursday 5 November. This four-working-day sequence is determined by dependencies and the calendar, not by the average task duration.</w:t>
      </w:r>
    </w:p>
    <w:p>
      <w:r>
        <w:t>Set Draft to completed and its progress to 100, then save. The summary should show 4 total tasks, 1 completed task, and 25 percent completion. Positive durations are 480, 960, and 480 minutes, giving mean 640, median 480, and 90th percentile 864. Launch is counted in completion but excluded from duration statistics.</w:t>
      </w:r>
    </w:p>
    <w:p>
      <w:r>
        <w:br w:type="page"/>
      </w:r>
    </w:p>
    <w:p>
      <w:pPr>
        <w:pStyle w:val="Heading1"/>
      </w:pPr>
      <w:r>
        <w:t>6 Troubleshooting and current limitations</w:t>
      </w:r>
    </w:p>
    <w:p>
      <w:pPr>
        <w:pStyle w:val="Heading2"/>
      </w:pPr>
      <w:r>
        <w:t>When something does not work</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2448"/>
            <w:vAlign w:val="center"/>
            <w:tcMar>
              <w:top w:w="95" w:type="dxa"/>
              <w:left w:w="95" w:type="dxa"/>
              <w:bottom w:w="95" w:type="dxa"/>
              <w:right w:w="95" w:type="dxa"/>
            </w:tcMar>
            <w:shd w:fill="EEF1F4"/>
          </w:tcPr>
          <w:p>
            <w:pPr>
              <w:spacing w:after="40" w:line="252" w:lineRule="auto"/>
            </w:pPr>
            <w:r>
              <w:rPr>
                <w:b/>
                <w:sz w:val="21"/>
              </w:rPr>
              <w:t>Symptom</w:t>
            </w:r>
          </w:p>
        </w:tc>
        <w:tc>
          <w:tcPr>
            <w:tcW w:type="dxa" w:w="7200"/>
            <w:vAlign w:val="center"/>
            <w:tcMar>
              <w:top w:w="95" w:type="dxa"/>
              <w:left w:w="95" w:type="dxa"/>
              <w:bottom w:w="95" w:type="dxa"/>
              <w:right w:w="95" w:type="dxa"/>
            </w:tcMar>
            <w:shd w:fill="EEF1F4"/>
          </w:tcPr>
          <w:p>
            <w:pPr>
              <w:spacing w:after="40" w:line="252" w:lineRule="auto"/>
            </w:pPr>
            <w:r>
              <w:rPr>
                <w:b/>
                <w:sz w:val="21"/>
              </w:rPr>
              <w:t>What to check</w:t>
            </w:r>
          </w:p>
        </w:tc>
      </w:tr>
      <w:tr>
        <w:trPr>
          <w:cantSplit/>
        </w:trPr>
        <w:tc>
          <w:tcPr>
            <w:tcW w:type="dxa" w:w="2448"/>
            <w:vAlign w:val="center"/>
            <w:tcMar>
              <w:top w:w="95" w:type="dxa"/>
              <w:left w:w="95" w:type="dxa"/>
              <w:bottom w:w="95" w:type="dxa"/>
              <w:right w:w="95" w:type="dxa"/>
            </w:tcMar>
          </w:tcPr>
          <w:p>
            <w:pPr>
              <w:spacing w:after="40" w:line="252" w:lineRule="auto"/>
            </w:pPr>
            <w:r>
              <w:rPr>
                <w:b w:val="0"/>
                <w:sz w:val="21"/>
              </w:rPr>
              <w:t>API unavailable</w:t>
            </w:r>
          </w:p>
        </w:tc>
        <w:tc>
          <w:tcPr>
            <w:tcW w:type="dxa" w:w="7200"/>
            <w:vAlign w:val="center"/>
            <w:tcMar>
              <w:top w:w="95" w:type="dxa"/>
              <w:left w:w="95" w:type="dxa"/>
              <w:bottom w:w="95" w:type="dxa"/>
              <w:right w:w="95" w:type="dxa"/>
            </w:tcMar>
          </w:tcPr>
          <w:p>
            <w:pPr>
              <w:spacing w:after="40" w:line="252" w:lineRule="auto"/>
            </w:pPr>
            <w:r>
              <w:rPr>
                <w:b w:val="0"/>
                <w:sz w:val="21"/>
              </w:rPr>
              <w:t>Ensure the Flask server is running on port 5000. Open /api/v1/health on that server to check connectivity.</w:t>
            </w:r>
          </w:p>
        </w:tc>
      </w:tr>
      <w:tr>
        <w:trPr>
          <w:cantSplit/>
        </w:trPr>
        <w:tc>
          <w:tcPr>
            <w:tcW w:type="dxa" w:w="2448"/>
            <w:vAlign w:val="center"/>
            <w:tcMar>
              <w:top w:w="95" w:type="dxa"/>
              <w:left w:w="95" w:type="dxa"/>
              <w:bottom w:w="95" w:type="dxa"/>
              <w:right w:w="95" w:type="dxa"/>
            </w:tcMar>
          </w:tcPr>
          <w:p>
            <w:pPr>
              <w:spacing w:after="40" w:line="252" w:lineRule="auto"/>
            </w:pPr>
            <w:r>
              <w:rPr>
                <w:b w:val="0"/>
                <w:sz w:val="21"/>
              </w:rPr>
              <w:t>Website does not open</w:t>
            </w:r>
          </w:p>
        </w:tc>
        <w:tc>
          <w:tcPr>
            <w:tcW w:type="dxa" w:w="7200"/>
            <w:vAlign w:val="center"/>
            <w:tcMar>
              <w:top w:w="95" w:type="dxa"/>
              <w:left w:w="95" w:type="dxa"/>
              <w:bottom w:w="95" w:type="dxa"/>
              <w:right w:w="95" w:type="dxa"/>
            </w:tcMar>
          </w:tcPr>
          <w:p>
            <w:pPr>
              <w:spacing w:after="40" w:line="252" w:lineRule="auto"/>
            </w:pPr>
            <w:r>
              <w:rPr>
                <w:b w:val="0"/>
                <w:sz w:val="21"/>
              </w:rPr>
              <w:t>Ensure Vite is running. Use the exact local URL it prints; the port may differ if another process is using 5173.</w:t>
            </w:r>
          </w:p>
        </w:tc>
      </w:tr>
      <w:tr>
        <w:trPr>
          <w:cantSplit/>
        </w:trPr>
        <w:tc>
          <w:tcPr>
            <w:tcW w:type="dxa" w:w="2448"/>
            <w:vAlign w:val="center"/>
            <w:tcMar>
              <w:top w:w="95" w:type="dxa"/>
              <w:left w:w="95" w:type="dxa"/>
              <w:bottom w:w="95" w:type="dxa"/>
              <w:right w:w="95" w:type="dxa"/>
            </w:tcMar>
          </w:tcPr>
          <w:p>
            <w:pPr>
              <w:spacing w:after="40" w:line="252" w:lineRule="auto"/>
            </w:pPr>
            <w:r>
              <w:rPr>
                <w:b w:val="0"/>
                <w:sz w:val="21"/>
              </w:rPr>
              <w:t>Sign in fails</w:t>
            </w:r>
          </w:p>
        </w:tc>
        <w:tc>
          <w:tcPr>
            <w:tcW w:type="dxa" w:w="7200"/>
            <w:vAlign w:val="center"/>
            <w:tcMar>
              <w:top w:w="95" w:type="dxa"/>
              <w:left w:w="95" w:type="dxa"/>
              <w:bottom w:w="95" w:type="dxa"/>
              <w:right w:w="95" w:type="dxa"/>
            </w:tcMar>
          </w:tcPr>
          <w:p>
            <w:pPr>
              <w:spacing w:after="40" w:line="252" w:lineRule="auto"/>
            </w:pPr>
            <w:r>
              <w:rPr>
                <w:b w:val="0"/>
                <w:sz w:val="21"/>
              </w:rPr>
              <w:t>Check the account email and password. The demo password may differ if DEMO_PASSWORD was changed. Existing users are not reset by seeding.</w:t>
            </w:r>
          </w:p>
        </w:tc>
      </w:tr>
      <w:tr>
        <w:trPr>
          <w:cantSplit/>
        </w:trPr>
        <w:tc>
          <w:tcPr>
            <w:tcW w:type="dxa" w:w="2448"/>
            <w:vAlign w:val="center"/>
            <w:tcMar>
              <w:top w:w="95" w:type="dxa"/>
              <w:left w:w="95" w:type="dxa"/>
              <w:bottom w:w="95" w:type="dxa"/>
              <w:right w:w="95" w:type="dxa"/>
            </w:tcMar>
          </w:tcPr>
          <w:p>
            <w:pPr>
              <w:spacing w:after="40" w:line="252" w:lineRule="auto"/>
            </w:pPr>
            <w:r>
              <w:rPr>
                <w:b w:val="0"/>
                <w:sz w:val="21"/>
              </w:rPr>
              <w:t>Edit controls are missing</w:t>
            </w:r>
          </w:p>
        </w:tc>
        <w:tc>
          <w:tcPr>
            <w:tcW w:type="dxa" w:w="7200"/>
            <w:vAlign w:val="center"/>
            <w:tcMar>
              <w:top w:w="95" w:type="dxa"/>
              <w:left w:w="95" w:type="dxa"/>
              <w:bottom w:w="95" w:type="dxa"/>
              <w:right w:w="95" w:type="dxa"/>
            </w:tcMar>
          </w:tcPr>
          <w:p>
            <w:pPr>
              <w:spacing w:after="40" w:line="252" w:lineRule="auto"/>
            </w:pPr>
            <w:r>
              <w:rPr>
                <w:b w:val="0"/>
                <w:sz w:val="21"/>
              </w:rPr>
              <w:t>Check your organization role. Viewer access is read-only; some management actions require owner or admin.</w:t>
            </w:r>
          </w:p>
        </w:tc>
      </w:tr>
      <w:tr>
        <w:trPr>
          <w:cantSplit/>
        </w:trPr>
        <w:tc>
          <w:tcPr>
            <w:tcW w:type="dxa" w:w="2448"/>
            <w:vAlign w:val="center"/>
            <w:tcMar>
              <w:top w:w="95" w:type="dxa"/>
              <w:left w:w="95" w:type="dxa"/>
              <w:bottom w:w="95" w:type="dxa"/>
              <w:right w:w="95" w:type="dxa"/>
            </w:tcMar>
          </w:tcPr>
          <w:p>
            <w:pPr>
              <w:spacing w:after="40" w:line="252" w:lineRule="auto"/>
            </w:pPr>
            <w:r>
              <w:rPr>
                <w:b w:val="0"/>
                <w:sz w:val="21"/>
              </w:rPr>
              <w:t>Member cannot be added</w:t>
            </w:r>
          </w:p>
        </w:tc>
        <w:tc>
          <w:tcPr>
            <w:tcW w:type="dxa" w:w="7200"/>
            <w:vAlign w:val="center"/>
            <w:tcMar>
              <w:top w:w="95" w:type="dxa"/>
              <w:left w:w="95" w:type="dxa"/>
              <w:bottom w:w="95" w:type="dxa"/>
              <w:right w:w="95" w:type="dxa"/>
            </w:tcMar>
          </w:tcPr>
          <w:p>
            <w:pPr>
              <w:spacing w:after="40" w:line="252" w:lineRule="auto"/>
            </w:pPr>
            <w:r>
              <w:rPr>
                <w:b w:val="0"/>
                <w:sz w:val="21"/>
              </w:rPr>
              <w:t>The email must belong to an existing user. There is no invitation or email signup workflow in the UI.</w:t>
            </w:r>
          </w:p>
        </w:tc>
      </w:tr>
      <w:tr>
        <w:trPr>
          <w:cantSplit/>
        </w:trPr>
        <w:tc>
          <w:tcPr>
            <w:tcW w:type="dxa" w:w="2448"/>
            <w:vAlign w:val="center"/>
            <w:tcMar>
              <w:top w:w="95" w:type="dxa"/>
              <w:left w:w="95" w:type="dxa"/>
              <w:bottom w:w="95" w:type="dxa"/>
              <w:right w:w="95" w:type="dxa"/>
            </w:tcMar>
          </w:tcPr>
          <w:p>
            <w:pPr>
              <w:spacing w:after="40" w:line="252" w:lineRule="auto"/>
            </w:pPr>
            <w:r>
              <w:rPr>
                <w:b w:val="0"/>
                <w:sz w:val="21"/>
              </w:rPr>
              <w:t>Project changed since loading</w:t>
            </w:r>
          </w:p>
        </w:tc>
        <w:tc>
          <w:tcPr>
            <w:tcW w:type="dxa" w:w="7200"/>
            <w:vAlign w:val="center"/>
            <w:tcMar>
              <w:top w:w="95" w:type="dxa"/>
              <w:left w:w="95" w:type="dxa"/>
              <w:bottom w:w="95" w:type="dxa"/>
              <w:right w:w="95" w:type="dxa"/>
            </w:tcMar>
          </w:tcPr>
          <w:p>
            <w:pPr>
              <w:spacing w:after="40" w:line="252" w:lineRule="auto"/>
            </w:pPr>
            <w:r>
              <w:rPr>
                <w:b w:val="0"/>
                <w:sz w:val="21"/>
              </w:rPr>
              <w:t>Reload the current project, review the latest values, and retry. Project and calendar saves use version checks.</w:t>
            </w:r>
          </w:p>
        </w:tc>
      </w:tr>
      <w:tr>
        <w:trPr>
          <w:cantSplit/>
        </w:trPr>
        <w:tc>
          <w:tcPr>
            <w:tcW w:type="dxa" w:w="2448"/>
            <w:vAlign w:val="center"/>
            <w:tcMar>
              <w:top w:w="95" w:type="dxa"/>
              <w:left w:w="95" w:type="dxa"/>
              <w:bottom w:w="95" w:type="dxa"/>
              <w:right w:w="95" w:type="dxa"/>
            </w:tcMar>
          </w:tcPr>
          <w:p>
            <w:pPr>
              <w:spacing w:after="40" w:line="252" w:lineRule="auto"/>
            </w:pPr>
            <w:r>
              <w:rPr>
                <w:b w:val="0"/>
                <w:sz w:val="21"/>
              </w:rPr>
              <w:t>Dependency or schedule error</w:t>
            </w:r>
          </w:p>
        </w:tc>
        <w:tc>
          <w:tcPr>
            <w:tcW w:type="dxa" w:w="7200"/>
            <w:vAlign w:val="center"/>
            <w:tcMar>
              <w:top w:w="95" w:type="dxa"/>
              <w:left w:w="95" w:type="dxa"/>
              <w:bottom w:w="95" w:type="dxa"/>
              <w:right w:w="95" w:type="dxa"/>
            </w:tcMar>
          </w:tcPr>
          <w:p>
            <w:pPr>
              <w:spacing w:after="40" w:line="252" w:lineRule="auto"/>
            </w:pPr>
            <w:r>
              <w:rPr>
                <w:b w:val="0"/>
                <w:sz w:val="21"/>
              </w:rPr>
              <w:t>Check for self-links, cycles, invalid task references, nonworking fixed dates, or conflicting constraints.</w:t>
            </w:r>
          </w:p>
        </w:tc>
      </w:tr>
      <w:tr>
        <w:trPr>
          <w:cantSplit/>
        </w:trPr>
        <w:tc>
          <w:tcPr>
            <w:tcW w:type="dxa" w:w="2448"/>
            <w:vAlign w:val="center"/>
            <w:tcMar>
              <w:top w:w="95" w:type="dxa"/>
              <w:left w:w="95" w:type="dxa"/>
              <w:bottom w:w="95" w:type="dxa"/>
              <w:right w:w="95" w:type="dxa"/>
            </w:tcMar>
          </w:tcPr>
          <w:p>
            <w:pPr>
              <w:spacing w:after="40" w:line="252" w:lineRule="auto"/>
            </w:pPr>
            <w:r>
              <w:rPr>
                <w:b w:val="0"/>
                <w:sz w:val="21"/>
              </w:rPr>
              <w:t>Project insights unavailable</w:t>
            </w:r>
          </w:p>
        </w:tc>
        <w:tc>
          <w:tcPr>
            <w:tcW w:type="dxa" w:w="7200"/>
            <w:vAlign w:val="center"/>
            <w:tcMar>
              <w:top w:w="95" w:type="dxa"/>
              <w:left w:w="95" w:type="dxa"/>
              <w:bottom w:w="95" w:type="dxa"/>
              <w:right w:w="95" w:type="dxa"/>
            </w:tcMar>
          </w:tcPr>
          <w:p>
            <w:pPr>
              <w:spacing w:after="40" w:line="252" w:lineRule="auto"/>
            </w:pPr>
            <w:r>
              <w:rPr>
                <w:b w:val="0"/>
                <w:sz w:val="21"/>
              </w:rPr>
              <w:t>Continue working on tasks, then reload the project when the API is available. The insights request is separate from editing.</w:t>
            </w:r>
          </w:p>
        </w:tc>
      </w:tr>
    </w:tbl>
    <w:p>
      <w:pPr>
        <w:pStyle w:val="Heading2"/>
      </w:pPr>
      <w:r>
        <w:t>What is not included</w:t>
      </w:r>
    </w:p>
    <w:p>
      <w:r>
        <w:t>The current website does not include resource assignments, workload analysis, resource leveling, risk simulation, invitations, notifications, or account export and deletion. It also does not support live co-editing, drag-to-edit Gantt bars, or two-way calendar synchronization. Legacy database tables remain for compatibility, but their retired features are not available in the interface.</w:t>
      </w:r>
    </w:p>
    <w:p>
      <w:pPr>
        <w:pStyle w:val="Heading2"/>
      </w:pPr>
      <w:r>
        <w:t>Keep these distinctions in mind</w:t>
      </w:r>
    </w:p>
    <w:p>
      <w:pPr>
        <w:pStyle w:val="ListBullet"/>
      </w:pPr>
      <w:r>
        <w:t>Task status and progress are separate inputs. Use completed status when the task should count toward project completion.</w:t>
      </w:r>
    </w:p>
    <w:p>
      <w:pPr>
        <w:pStyle w:val="ListBullet"/>
      </w:pPr>
      <w:r>
        <w:t>Working minutes are not elapsed clock time. Calendars skip nonworking hours and days.</w:t>
      </w:r>
    </w:p>
    <w:p>
      <w:pPr>
        <w:pStyle w:val="ListBullet"/>
      </w:pPr>
      <w:r>
        <w:t>The project target is advisory. Inspect warnings and float instead of assuming a target date is guaranteed.</w:t>
      </w:r>
    </w:p>
    <w:p>
      <w:pPr>
        <w:pStyle w:val="ListBullet"/>
      </w:pPr>
      <w:r>
        <w:t>Deleting an organization, workspace, or project can delete its contained planning records. Closing a dialog does not save unsaved edits.</w:t>
      </w:r>
    </w:p>
    <w:p>
      <w:pPr>
        <w:pStyle w:val="Heading2"/>
      </w:pPr>
      <w:r>
        <w:t>Project documentation</w:t>
      </w:r>
    </w:p>
    <w:p>
      <w:r>
        <w:t>For installation and configuration, see README.md. For permissions and interfaces, see docs/api-conventions.md. Scheduling rules are in docs/scheduling-assumptions.md, the architecture is in docs/architecture.md, and verification evidence is in docs/evaluation.md. This guide describes the current local application and its top navigation layout.</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ProjectPulse user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ProjectPulse Features and User Guide</dc:title>
  <dc:subject>Features and step by step website instructions</dc:subject>
  <dc:creator>ProjectPulse</dc:creator>
  <cp:keywords/>
  <dc:description>generated by python-docx</dc:description>
  <cp:lastModifiedBy/>
  <cp:revision>1</cp:revision>
  <dcterms:created xsi:type="dcterms:W3CDTF">2013-12-23T23:15:00Z</dcterms:created>
  <dcterms:modified xsi:type="dcterms:W3CDTF">2013-12-23T23:15:00Z</dcterms:modified>
  <cp:category/>
</cp:coreProperties>
</file>