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120"/>
        <w:jc w:val="center"/>
      </w:pPr>
      <w:r>
        <w:rPr>
          <w:rFonts w:ascii="Arial" w:cs="Arial" w:eastAsia="Arial" w:hAnsi="Arial"/>
          <w:b/>
          <w:bCs/>
          <w:color w:val="1B2A4A"/>
          <w:sz w:val="52"/>
          <w:szCs w:val="52"/>
        </w:rPr>
        <w:t xml:space="preserve">TECHNICAL SPECIFICATION</w:t>
      </w:r>
    </w:p>
    <w:p>
      <w:pPr>
        <w:spacing w:before="0" w:after="80"/>
        <w:jc w:val="center"/>
      </w:pPr>
      <w:r>
        <w:rPr>
          <w:rFonts w:ascii="Arial" w:cs="Arial" w:eastAsia="Arial" w:hAnsi="Arial"/>
          <w:color w:val="3A6BC4"/>
          <w:sz w:val="36"/>
          <w:szCs w:val="36"/>
        </w:rPr>
        <w:t xml:space="preserve">AI-Powered Pitch Coaching Platform</w:t>
      </w:r>
    </w:p>
    <w:p>
      <w:pPr>
        <w:spacing w:before="0" w:after="800"/>
        <w:jc w:val="center"/>
      </w:pPr>
      <w:r>
        <w:rPr>
          <w:rFonts w:ascii="Arial" w:cs="Arial" w:eastAsia="Arial" w:hAnsi="Arial"/>
          <w:i/>
          <w:iCs/>
          <w:color w:val="4A5568"/>
          <w:sz w:val="26"/>
          <w:szCs w:val="26"/>
        </w:rPr>
        <w:t xml:space="preserve">Vendor Requirements &amp; Acceptance Criteria</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Document Version</w:t>
            </w:r>
          </w:p>
        </w:tc>
        <w:tc>
          <w:tcPr>
            <w:tcW w:type="dxa" w:w="3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pPr>
              <w:spacing w:before="40" w:after="40"/>
            </w:pPr>
            <w:r>
              <w:rPr>
                <w:rFonts w:ascii="Arial" w:cs="Arial" w:eastAsia="Arial" w:hAnsi="Arial"/>
                <w:color w:val="1A1A2E"/>
                <w:sz w:val="18"/>
                <w:szCs w:val="18"/>
              </w:rPr>
              <w:t xml:space="preserve">1.0</w:t>
            </w:r>
          </w:p>
        </w:tc>
      </w:tr>
      <w:tr>
        <w:tc>
          <w:tcPr>
            <w:tcW w:type="dxa" w:w="24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Date</w:t>
            </w:r>
          </w:p>
        </w:tc>
        <w:tc>
          <w:tcPr>
            <w:tcW w:type="dxa" w:w="3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pPr>
              <w:spacing w:before="40" w:after="40"/>
            </w:pPr>
            <w:r>
              <w:rPr>
                <w:rFonts w:ascii="Arial" w:cs="Arial" w:eastAsia="Arial" w:hAnsi="Arial"/>
                <w:color w:val="1A1A2E"/>
                <w:sz w:val="18"/>
                <w:szCs w:val="18"/>
              </w:rPr>
              <w:t xml:space="preserve">March 2026</w:t>
            </w:r>
          </w:p>
        </w:tc>
      </w:tr>
      <w:tr>
        <w:tc>
          <w:tcPr>
            <w:tcW w:type="dxa" w:w="24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Status</w:t>
            </w:r>
          </w:p>
        </w:tc>
        <w:tc>
          <w:tcPr>
            <w:tcW w:type="dxa" w:w="3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pPr>
              <w:spacing w:before="40" w:after="40"/>
            </w:pPr>
            <w:r>
              <w:rPr>
                <w:rFonts w:ascii="Arial" w:cs="Arial" w:eastAsia="Arial" w:hAnsi="Arial"/>
                <w:color w:val="1A1A2E"/>
                <w:sz w:val="18"/>
                <w:szCs w:val="18"/>
              </w:rPr>
              <w:t xml:space="preserve">Issued for Vendor Response</w:t>
            </w:r>
          </w:p>
        </w:tc>
      </w:tr>
      <w:tr>
        <w:tc>
          <w:tcPr>
            <w:tcW w:type="dxa" w:w="24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Classification</w:t>
            </w:r>
          </w:p>
        </w:tc>
        <w:tc>
          <w:tcPr>
            <w:tcW w:type="dxa" w:w="3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pPr>
              <w:spacing w:before="40" w:after="40"/>
            </w:pPr>
            <w:r>
              <w:rPr>
                <w:rFonts w:ascii="Arial" w:cs="Arial" w:eastAsia="Arial" w:hAnsi="Arial"/>
                <w:color w:val="1A1A2E"/>
                <w:sz w:val="18"/>
                <w:szCs w:val="18"/>
              </w:rPr>
              <w:t xml:space="preserve">Confidential</w:t>
            </w:r>
          </w:p>
        </w:tc>
      </w:tr>
    </w:tbl>
    <w:p>
      <w:pPr>
        <w:spacing w:before="0" w:after="0"/>
      </w:pPr>
      <w:r>
        <w:br/>
      </w:r>
    </w:p>
    <w:p>
      <w:pPr>
        <w:pStyle w:val="Heading1"/>
        <w:pBdr>
          <w:bottom w:val="single" w:color="3A6BC4" w:sz="8" w:space="4"/>
        </w:pBdr>
        <w:spacing w:before="360" w:after="120"/>
      </w:pPr>
      <w:r>
        <w:rPr>
          <w:rFonts w:ascii="Arial" w:cs="Arial" w:eastAsia="Arial" w:hAnsi="Arial"/>
          <w:b/>
          <w:bCs/>
          <w:color w:val="1B2A4A"/>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0" w:after="0"/>
      </w:pPr>
      <w:r>
        <w:br/>
      </w:r>
    </w:p>
    <w:p>
      <w:pPr>
        <w:pStyle w:val="Heading1"/>
        <w:pBdr>
          <w:bottom w:val="single" w:color="3A6BC4" w:sz="8" w:space="4"/>
        </w:pBdr>
        <w:spacing w:before="360" w:after="120"/>
      </w:pPr>
      <w:r>
        <w:rPr>
          <w:rFonts w:ascii="Arial" w:cs="Arial" w:eastAsia="Arial" w:hAnsi="Arial"/>
          <w:b/>
          <w:bCs/>
          <w:color w:val="1B2A4A"/>
          <w:sz w:val="36"/>
          <w:szCs w:val="36"/>
        </w:rPr>
        <w:t xml:space="preserve">1. Introduction &amp; Document Purpose</w:t>
      </w:r>
    </w:p>
    <w:p>
      <w:pPr>
        <w:spacing w:before="0" w:after="80"/>
        <w:jc w:val="left"/>
      </w:pPr>
      <w:r>
        <w:rPr>
          <w:rFonts w:ascii="Arial" w:cs="Arial" w:eastAsia="Arial" w:hAnsi="Arial"/>
          <w:color w:val="1A1A2E"/>
          <w:sz w:val="20"/>
          <w:szCs w:val="20"/>
        </w:rPr>
        <w:t xml:space="preserve">This Technical Specification defines the functional and technical requirements for the development of an AI-powered pitch coaching platform. The platform enables users to upload, record, and receive structured AI-generated feedback on pitches across multiple formats and session types.</w:t>
      </w:r>
    </w:p>
    <w:p>
      <w:pPr>
        <w:spacing w:before="0" w:after="80"/>
        <w:jc w:val="left"/>
      </w:pPr>
      <w:r>
        <w:rPr>
          <w:rFonts w:ascii="Arial" w:cs="Arial" w:eastAsia="Arial" w:hAnsi="Arial"/>
          <w:color w:val="1A1A2E"/>
          <w:sz w:val="20"/>
          <w:szCs w:val="20"/>
        </w:rPr>
        <w:t xml:space="preserve">This document is issued to potential development vendors to allow them to assess technical fit, estimate effort, and provide commercial proposals. All intellectual property, proprietary frameworks, and business logic have been intentionally omitted from this specification.</w:t>
      </w:r>
    </w:p>
    <w:p>
      <w:pPr>
        <w:pBdr>
          <w:bottom w:val="single" w:color="E2E8F0" w:sz="2" w:space="1"/>
        </w:pBdr>
        <w:spacing w:before="160" w:after="160"/>
      </w:pPr>
      <w:r>
        <w:t xml:space="preserve"/>
      </w:r>
    </w:p>
    <w:p>
      <w:pPr>
        <w:pStyle w:val="Heading2"/>
        <w:shd w:fill="D6E4F7" w:val="clear"/>
        <w:spacing w:before="280" w:after="100"/>
        <w:ind w:left="0"/>
      </w:pPr>
      <w:r>
        <w:rPr>
          <w:rFonts w:ascii="Arial" w:cs="Arial" w:eastAsia="Arial" w:hAnsi="Arial"/>
          <w:b/>
          <w:bCs/>
          <w:color w:val="2E4A7A"/>
          <w:sz w:val="28"/>
          <w:szCs w:val="28"/>
        </w:rPr>
        <w:t xml:space="preserve">1.1 Scope of Work</w:t>
      </w:r>
    </w:p>
    <w:p>
      <w:pPr>
        <w:spacing w:before="0" w:after="80"/>
        <w:jc w:val="left"/>
      </w:pPr>
      <w:r>
        <w:rPr>
          <w:rFonts w:ascii="Arial" w:cs="Arial" w:eastAsia="Arial" w:hAnsi="Arial"/>
          <w:color w:val="1A1A2E"/>
          <w:sz w:val="20"/>
          <w:szCs w:val="20"/>
        </w:rPr>
        <w:t xml:space="preserve">The vendor is required to design, build, test, and deploy a fully integrated SaaS platform comprising the following module groups:</w:t>
      </w:r>
    </w:p>
    <w:p>
      <w:pPr>
        <w:pStyle w:val="ListParagraph"/>
        <w:numPr>
          <w:ilvl w:val="0"/>
          <w:numId w:val="2"/>
        </w:numPr>
        <w:spacing w:before="0" w:after="60"/>
      </w:pPr>
      <w:r>
        <w:rPr>
          <w:rFonts w:ascii="Arial" w:cs="Arial" w:eastAsia="Arial" w:hAnsi="Arial"/>
          <w:color w:val="1A1A2E"/>
          <w:sz w:val="20"/>
          <w:szCs w:val="20"/>
        </w:rPr>
        <w:t xml:space="preserve">General platform modules: authentication, user management, account administration</w:t>
      </w:r>
    </w:p>
    <w:p>
      <w:pPr>
        <w:pStyle w:val="ListParagraph"/>
        <w:numPr>
          <w:ilvl w:val="0"/>
          <w:numId w:val="2"/>
        </w:numPr>
        <w:spacing w:before="0" w:after="60"/>
      </w:pPr>
      <w:r>
        <w:rPr>
          <w:rFonts w:ascii="Arial" w:cs="Arial" w:eastAsia="Arial" w:hAnsi="Arial"/>
          <w:color w:val="1A1A2E"/>
          <w:sz w:val="20"/>
          <w:szCs w:val="20"/>
        </w:rPr>
        <w:t xml:space="preserve">Finance modules: payment gateway integration, accounting system integration</w:t>
      </w:r>
    </w:p>
    <w:p>
      <w:pPr>
        <w:pStyle w:val="ListParagraph"/>
        <w:numPr>
          <w:ilvl w:val="0"/>
          <w:numId w:val="2"/>
        </w:numPr>
        <w:spacing w:before="0" w:after="60"/>
      </w:pPr>
      <w:r>
        <w:rPr>
          <w:rFonts w:ascii="Arial" w:cs="Arial" w:eastAsia="Arial" w:hAnsi="Arial"/>
          <w:color w:val="1A1A2E"/>
          <w:sz w:val="20"/>
          <w:szCs w:val="20"/>
        </w:rPr>
        <w:t xml:space="preserve">CRM and marketing automation: customer records, email sequence management</w:t>
      </w:r>
    </w:p>
    <w:p>
      <w:pPr>
        <w:pStyle w:val="ListParagraph"/>
        <w:numPr>
          <w:ilvl w:val="0"/>
          <w:numId w:val="2"/>
        </w:numPr>
        <w:spacing w:before="0" w:after="60"/>
      </w:pPr>
      <w:r>
        <w:rPr>
          <w:rFonts w:ascii="Arial" w:cs="Arial" w:eastAsia="Arial" w:hAnsi="Arial"/>
          <w:color w:val="1A1A2E"/>
          <w:sz w:val="20"/>
          <w:szCs w:val="20"/>
        </w:rPr>
        <w:t xml:space="preserve">Single sign-on: unified authentication across the core application, online training platform, and community platform</w:t>
      </w:r>
    </w:p>
    <w:p>
      <w:pPr>
        <w:pStyle w:val="ListParagraph"/>
        <w:numPr>
          <w:ilvl w:val="0"/>
          <w:numId w:val="2"/>
        </w:numPr>
        <w:spacing w:before="0" w:after="60"/>
      </w:pPr>
      <w:r>
        <w:rPr>
          <w:rFonts w:ascii="Arial" w:cs="Arial" w:eastAsia="Arial" w:hAnsi="Arial"/>
          <w:color w:val="1A1A2E"/>
          <w:sz w:val="20"/>
          <w:szCs w:val="20"/>
        </w:rPr>
        <w:t xml:space="preserve">Core AI coaching modules: pitch deck analysis, script coaching, live recording and feedback</w:t>
      </w:r>
    </w:p>
    <w:p>
      <w:pPr>
        <w:pStyle w:val="Heading2"/>
        <w:shd w:fill="D6E4F7" w:val="clear"/>
        <w:spacing w:before="280" w:after="100"/>
        <w:ind w:left="0"/>
      </w:pPr>
      <w:r>
        <w:rPr>
          <w:rFonts w:ascii="Arial" w:cs="Arial" w:eastAsia="Arial" w:hAnsi="Arial"/>
          <w:b/>
          <w:bCs/>
          <w:color w:val="2E4A7A"/>
          <w:sz w:val="28"/>
          <w:szCs w:val="28"/>
        </w:rPr>
        <w:t xml:space="preserve">1.2 Assumptions</w:t>
      </w:r>
    </w:p>
    <w:p>
      <w:pPr>
        <w:pStyle w:val="ListParagraph"/>
        <w:numPr>
          <w:ilvl w:val="0"/>
          <w:numId w:val="2"/>
        </w:numPr>
        <w:spacing w:before="0" w:after="60"/>
      </w:pPr>
      <w:r>
        <w:rPr>
          <w:rFonts w:ascii="Arial" w:cs="Arial" w:eastAsia="Arial" w:hAnsi="Arial"/>
          <w:color w:val="1A1A2E"/>
          <w:sz w:val="20"/>
          <w:szCs w:val="20"/>
        </w:rPr>
        <w:t xml:space="preserve">The client will provide all AI model API keys and credentials.</w:t>
      </w:r>
    </w:p>
    <w:p>
      <w:pPr>
        <w:pStyle w:val="ListParagraph"/>
        <w:numPr>
          <w:ilvl w:val="0"/>
          <w:numId w:val="2"/>
        </w:numPr>
        <w:spacing w:before="0" w:after="60"/>
      </w:pPr>
      <w:r>
        <w:rPr>
          <w:rFonts w:ascii="Arial" w:cs="Arial" w:eastAsia="Arial" w:hAnsi="Arial"/>
          <w:color w:val="1A1A2E"/>
          <w:sz w:val="20"/>
          <w:szCs w:val="20"/>
        </w:rPr>
        <w:t xml:space="preserve">The client will provide access to all third-party platform accounts (Zoho suite, payment gateway).</w:t>
      </w:r>
    </w:p>
    <w:p>
      <w:pPr>
        <w:pStyle w:val="ListParagraph"/>
        <w:numPr>
          <w:ilvl w:val="0"/>
          <w:numId w:val="2"/>
        </w:numPr>
        <w:spacing w:before="0" w:after="60"/>
      </w:pPr>
      <w:r>
        <w:rPr>
          <w:rFonts w:ascii="Arial" w:cs="Arial" w:eastAsia="Arial" w:hAnsi="Arial"/>
          <w:color w:val="1A1A2E"/>
          <w:sz w:val="20"/>
          <w:szCs w:val="20"/>
        </w:rPr>
        <w:t xml:space="preserve">The vendor is responsible for all front-end, back-end, infrastructure, and integration development unless explicitly stated otherwise.</w:t>
      </w:r>
    </w:p>
    <w:p>
      <w:pPr>
        <w:pStyle w:val="ListParagraph"/>
        <w:numPr>
          <w:ilvl w:val="0"/>
          <w:numId w:val="2"/>
        </w:numPr>
        <w:spacing w:before="0" w:after="60"/>
      </w:pPr>
      <w:r>
        <w:rPr>
          <w:rFonts w:ascii="Arial" w:cs="Arial" w:eastAsia="Arial" w:hAnsi="Arial"/>
          <w:color w:val="1A1A2E"/>
          <w:sz w:val="20"/>
          <w:szCs w:val="20"/>
        </w:rPr>
        <w:t xml:space="preserve">All third-party services referenced are to be integrated via their published APIs.</w:t>
      </w:r>
    </w:p>
    <w:p>
      <w:pPr>
        <w:pStyle w:val="ListParagraph"/>
        <w:numPr>
          <w:ilvl w:val="0"/>
          <w:numId w:val="2"/>
        </w:numPr>
        <w:spacing w:before="0" w:after="60"/>
      </w:pPr>
      <w:r>
        <w:rPr>
          <w:rFonts w:ascii="Arial" w:cs="Arial" w:eastAsia="Arial" w:hAnsi="Arial"/>
          <w:color w:val="1A1A2E"/>
          <w:sz w:val="20"/>
          <w:szCs w:val="20"/>
        </w:rPr>
        <w:t xml:space="preserve">The platform must be deployed on cloud infrastructure with high availability.</w:t>
      </w:r>
    </w:p>
    <w:p>
      <w:pPr>
        <w:pStyle w:val="ListParagraph"/>
        <w:numPr>
          <w:ilvl w:val="0"/>
          <w:numId w:val="2"/>
        </w:numPr>
        <w:spacing w:before="0" w:after="60"/>
      </w:pPr>
      <w:r>
        <w:rPr>
          <w:rFonts w:ascii="Arial" w:cs="Arial" w:eastAsia="Arial" w:hAnsi="Arial"/>
          <w:color w:val="1A1A2E"/>
          <w:sz w:val="20"/>
          <w:szCs w:val="20"/>
        </w:rPr>
        <w:t xml:space="preserve">The vendor must provide a minimum 12-month post-launch support and maintenance proposal.</w:t>
      </w:r>
    </w:p>
    <w:p>
      <w:pPr>
        <w:pStyle w:val="Heading2"/>
        <w:shd w:fill="D6E4F7" w:val="clear"/>
        <w:spacing w:before="280" w:after="100"/>
        <w:ind w:left="0"/>
      </w:pPr>
      <w:r>
        <w:rPr>
          <w:rFonts w:ascii="Arial" w:cs="Arial" w:eastAsia="Arial" w:hAnsi="Arial"/>
          <w:b/>
          <w:bCs/>
          <w:color w:val="2E4A7A"/>
          <w:sz w:val="28"/>
          <w:szCs w:val="28"/>
        </w:rPr>
        <w:t xml:space="preserve">1.3 Glossary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rPr>
          <w:tblHeader/>
        </w:trPr>
        <w:tc>
          <w:tcPr>
            <w:tcW w:type="dxa" w:w="24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Term</w:t>
            </w:r>
          </w:p>
        </w:tc>
        <w:tc>
          <w:tcPr>
            <w:tcW w:type="dxa" w:w="732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Definition</w:t>
            </w:r>
          </w:p>
        </w:tc>
      </w:tr>
      <w:tr>
        <w:tc>
          <w:tcPr>
            <w:tcW w:type="dxa" w:w="24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Platform</w:t>
            </w:r>
          </w:p>
        </w:tc>
        <w:tc>
          <w:tcPr>
            <w:tcW w:type="dxa" w:w="732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The complete AI-powered pitch coaching application described in this document</w:t>
            </w:r>
          </w:p>
        </w:tc>
      </w:tr>
      <w:tr>
        <w:tc>
          <w:tcPr>
            <w:tcW w:type="dxa" w:w="24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Session</w:t>
            </w:r>
          </w:p>
        </w:tc>
        <w:tc>
          <w:tcPr>
            <w:tcW w:type="dxa" w:w="732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A single instance of a user interacting with one coaching module</w:t>
            </w:r>
          </w:p>
        </w:tc>
      </w:tr>
      <w:tr>
        <w:tc>
          <w:tcPr>
            <w:tcW w:type="dxa" w:w="24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Pitch format</w:t>
            </w:r>
          </w:p>
        </w:tc>
        <w:tc>
          <w:tcPr>
            <w:tcW w:type="dxa" w:w="732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A structured framework against which a pitch is evaluated</w:t>
            </w:r>
          </w:p>
        </w:tc>
      </w:tr>
      <w:tr>
        <w:tc>
          <w:tcPr>
            <w:tcW w:type="dxa" w:w="24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Subscriber</w:t>
            </w:r>
          </w:p>
        </w:tc>
        <w:tc>
          <w:tcPr>
            <w:tcW w:type="dxa" w:w="732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A registered user with an active paid or trial subscription</w:t>
            </w:r>
          </w:p>
        </w:tc>
      </w:tr>
      <w:tr>
        <w:tc>
          <w:tcPr>
            <w:tcW w:type="dxa" w:w="24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Seat</w:t>
            </w:r>
          </w:p>
        </w:tc>
        <w:tc>
          <w:tcPr>
            <w:tcW w:type="dxa" w:w="732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A licensed user position within a team or enterprise subscription</w:t>
            </w:r>
          </w:p>
        </w:tc>
      </w:tr>
      <w:tr>
        <w:tc>
          <w:tcPr>
            <w:tcW w:type="dxa" w:w="24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SSO</w:t>
            </w:r>
          </w:p>
        </w:tc>
        <w:tc>
          <w:tcPr>
            <w:tcW w:type="dxa" w:w="732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Single Sign-On — unified login across multiple connected platforms</w:t>
            </w:r>
          </w:p>
        </w:tc>
      </w:tr>
      <w:tr>
        <w:tc>
          <w:tcPr>
            <w:tcW w:type="dxa" w:w="24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AI feedback</w:t>
            </w:r>
          </w:p>
        </w:tc>
        <w:tc>
          <w:tcPr>
            <w:tcW w:type="dxa" w:w="732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Structured, scored analysis generated by an AI language model</w:t>
            </w:r>
          </w:p>
        </w:tc>
      </w:tr>
      <w:tr>
        <w:tc>
          <w:tcPr>
            <w:tcW w:type="dxa" w:w="24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Transcript</w:t>
            </w:r>
          </w:p>
        </w:tc>
        <w:tc>
          <w:tcPr>
            <w:tcW w:type="dxa" w:w="732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A text representation of spoken audio content</w:t>
            </w:r>
          </w:p>
        </w:tc>
      </w:tr>
      <w:tr>
        <w:tc>
          <w:tcPr>
            <w:tcW w:type="dxa" w:w="24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Deck</w:t>
            </w:r>
          </w:p>
        </w:tc>
        <w:tc>
          <w:tcPr>
            <w:tcW w:type="dxa" w:w="732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A pitch presentation file uploaded by the user</w:t>
            </w:r>
          </w:p>
        </w:tc>
      </w:tr>
      <w:tr>
        <w:tc>
          <w:tcPr>
            <w:tcW w:type="dxa" w:w="24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CRM</w:t>
            </w:r>
          </w:p>
        </w:tc>
        <w:tc>
          <w:tcPr>
            <w:tcW w:type="dxa" w:w="732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Customer Relationship Management system — Zoho CRM in this context</w:t>
            </w:r>
          </w:p>
        </w:tc>
      </w:tr>
    </w:tbl>
    <w:p>
      <w:pPr>
        <w:spacing w:before="0" w:after="0"/>
      </w:pPr>
      <w:r>
        <w:br/>
      </w:r>
    </w:p>
    <w:p>
      <w:pPr>
        <w:pStyle w:val="Heading1"/>
        <w:pBdr>
          <w:bottom w:val="single" w:color="3A6BC4" w:sz="8" w:space="4"/>
        </w:pBdr>
        <w:spacing w:before="360" w:after="120"/>
      </w:pPr>
      <w:r>
        <w:rPr>
          <w:rFonts w:ascii="Arial" w:cs="Arial" w:eastAsia="Arial" w:hAnsi="Arial"/>
          <w:b/>
          <w:bCs/>
          <w:color w:val="1B2A4A"/>
          <w:sz w:val="36"/>
          <w:szCs w:val="36"/>
        </w:rPr>
        <w:t xml:space="preserve">2. Architecture Overview</w:t>
      </w:r>
    </w:p>
    <w:p>
      <w:pPr>
        <w:spacing w:before="0" w:after="80"/>
        <w:jc w:val="left"/>
      </w:pPr>
      <w:r>
        <w:rPr>
          <w:rFonts w:ascii="Arial" w:cs="Arial" w:eastAsia="Arial" w:hAnsi="Arial"/>
          <w:color w:val="1A1A2E"/>
          <w:sz w:val="20"/>
          <w:szCs w:val="20"/>
        </w:rPr>
        <w:t xml:space="preserve">The platform must be built as a modern cloud-native web application. The following constraints apply to the overall architecture.</w:t>
      </w:r>
    </w:p>
    <w:p>
      <w:pPr>
        <w:pStyle w:val="Heading2"/>
        <w:shd w:fill="D6E4F7" w:val="clear"/>
        <w:spacing w:before="280" w:after="100"/>
        <w:ind w:left="0"/>
      </w:pPr>
      <w:r>
        <w:rPr>
          <w:rFonts w:ascii="Arial" w:cs="Arial" w:eastAsia="Arial" w:hAnsi="Arial"/>
          <w:b/>
          <w:bCs/>
          <w:color w:val="2E4A7A"/>
          <w:sz w:val="28"/>
          <w:szCs w:val="28"/>
        </w:rPr>
        <w:t xml:space="preserve">2.1 Technical Constraints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rPr>
          <w:tblHeader/>
        </w:trPr>
        <w:tc>
          <w:tcPr>
            <w:tcW w:type="dxa" w:w="28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Constraint</w:t>
            </w:r>
          </w:p>
        </w:tc>
        <w:tc>
          <w:tcPr>
            <w:tcW w:type="dxa" w:w="692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w:t>
            </w:r>
          </w:p>
        </w:tc>
      </w:tr>
      <w:tr>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Frontend framework</w:t>
            </w:r>
          </w:p>
        </w:tc>
        <w:tc>
          <w:tcPr>
            <w:tcW w:type="dxa" w:w="692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React-based (Next.js preferred). Must support server-side rendering and static generation.</w:t>
            </w:r>
          </w:p>
        </w:tc>
      </w:tr>
      <w:tr>
        <w:tc>
          <w:tcPr>
            <w:tcW w:type="dxa" w:w="2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Hosting</w:t>
            </w:r>
          </w:p>
        </w:tc>
        <w:tc>
          <w:tcPr>
            <w:tcW w:type="dxa" w:w="692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Cloud hosting with CDN. Must support serverless functions. Vercel or equivalent.</w:t>
            </w:r>
          </w:p>
        </w:tc>
      </w:tr>
      <w:tr>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Authentication</w:t>
            </w:r>
          </w:p>
        </w:tc>
        <w:tc>
          <w:tcPr>
            <w:tcW w:type="dxa" w:w="692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Clerk or equivalent — must support OAuth providers including LinkedIn, Google, and email/password.</w:t>
            </w:r>
          </w:p>
        </w:tc>
      </w:tr>
      <w:tr>
        <w:tc>
          <w:tcPr>
            <w:tcW w:type="dxa" w:w="2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Database</w:t>
            </w:r>
          </w:p>
        </w:tc>
        <w:tc>
          <w:tcPr>
            <w:tcW w:type="dxa" w:w="692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PostgreSQL via managed service (e.g. Supabase, PlanetScale, or equivalent).</w:t>
            </w:r>
          </w:p>
        </w:tc>
      </w:tr>
      <w:tr>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File storage</w:t>
            </w:r>
          </w:p>
        </w:tc>
        <w:tc>
          <w:tcPr>
            <w:tcW w:type="dxa" w:w="692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Cloud object storage for recordings and uploaded files. Zero or low egress cost preferred (e.g. Cloudflare R2, AWS S3).</w:t>
            </w:r>
          </w:p>
        </w:tc>
      </w:tr>
      <w:tr>
        <w:tc>
          <w:tcPr>
            <w:tcW w:type="dxa" w:w="2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Video delivery</w:t>
            </w:r>
          </w:p>
        </w:tc>
        <w:tc>
          <w:tcPr>
            <w:tcW w:type="dxa" w:w="692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Dedicated video hosting and streaming service supporting adaptive bitrate delivery (e.g. Mux, Cloudflare Stream).</w:t>
            </w:r>
          </w:p>
        </w:tc>
      </w:tr>
      <w:tr>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AI analysis</w:t>
            </w:r>
          </w:p>
        </w:tc>
        <w:tc>
          <w:tcPr>
            <w:tcW w:type="dxa" w:w="692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Integration with Anthropic Claude API (model to be specified by client). All AI calls must be proxied server-side.</w:t>
            </w:r>
          </w:p>
        </w:tc>
      </w:tr>
      <w:tr>
        <w:tc>
          <w:tcPr>
            <w:tcW w:type="dxa" w:w="2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Billing</w:t>
            </w:r>
          </w:p>
        </w:tc>
        <w:tc>
          <w:tcPr>
            <w:tcW w:type="dxa" w:w="692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Stripe for subscription and payment management.</w:t>
            </w:r>
          </w:p>
        </w:tc>
      </w:tr>
      <w:tr>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CRM</w:t>
            </w:r>
          </w:p>
        </w:tc>
        <w:tc>
          <w:tcPr>
            <w:tcW w:type="dxa" w:w="692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Zoho CRM via REST API.</w:t>
            </w:r>
          </w:p>
        </w:tc>
      </w:tr>
      <w:tr>
        <w:tc>
          <w:tcPr>
            <w:tcW w:type="dxa" w:w="2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Email automation</w:t>
            </w:r>
          </w:p>
        </w:tc>
        <w:tc>
          <w:tcPr>
            <w:tcW w:type="dxa" w:w="692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Zoho Campaigns via API.</w:t>
            </w:r>
          </w:p>
        </w:tc>
      </w:tr>
      <w:tr>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Accounting</w:t>
            </w:r>
          </w:p>
        </w:tc>
        <w:tc>
          <w:tcPr>
            <w:tcW w:type="dxa" w:w="692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Zoho Books via API.</w:t>
            </w:r>
          </w:p>
        </w:tc>
      </w:tr>
      <w:tr>
        <w:tc>
          <w:tcPr>
            <w:tcW w:type="dxa" w:w="2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Training platform SSO</w:t>
            </w:r>
          </w:p>
        </w:tc>
        <w:tc>
          <w:tcPr>
            <w:tcW w:type="dxa" w:w="692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Zoho Trainer Central — SSO via SAML 2.0 or OAuth 2.0.</w:t>
            </w:r>
          </w:p>
        </w:tc>
      </w:tr>
      <w:tr>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Community platform SSO</w:t>
            </w:r>
          </w:p>
        </w:tc>
        <w:tc>
          <w:tcPr>
            <w:tcW w:type="dxa" w:w="692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Zoho Public Spaces — SSO via SAML 2.0 or OAuth 2.0.</w:t>
            </w:r>
          </w:p>
        </w:tc>
      </w:tr>
    </w:tbl>
    <w:p>
      <w:pPr>
        <w:pStyle w:val="Heading2"/>
        <w:shd w:fill="D6E4F7" w:val="clear"/>
        <w:spacing w:before="280" w:after="100"/>
        <w:ind w:left="0"/>
      </w:pPr>
      <w:r>
        <w:rPr>
          <w:rFonts w:ascii="Arial" w:cs="Arial" w:eastAsia="Arial" w:hAnsi="Arial"/>
          <w:b/>
          <w:bCs/>
          <w:color w:val="2E4A7A"/>
          <w:sz w:val="28"/>
          <w:szCs w:val="28"/>
        </w:rPr>
        <w:t xml:space="preserve">2.2 Non-Functional Requirements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rPr>
          <w:tblHeader/>
        </w:trPr>
        <w:tc>
          <w:tcPr>
            <w:tcW w:type="dxa" w:w="24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Category</w:t>
            </w:r>
          </w:p>
        </w:tc>
        <w:tc>
          <w:tcPr>
            <w:tcW w:type="dxa" w:w="732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w:t>
            </w:r>
          </w:p>
        </w:tc>
      </w:tr>
      <w:tr>
        <w:tc>
          <w:tcPr>
            <w:tcW w:type="dxa" w:w="24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Performance</w:t>
            </w:r>
          </w:p>
        </w:tc>
        <w:tc>
          <w:tcPr>
            <w:tcW w:type="dxa" w:w="732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Page load time under 3 seconds on standard broadband. AI feedback response within 30 seconds for all modules.</w:t>
            </w:r>
          </w:p>
        </w:tc>
      </w:tr>
      <w:tr>
        <w:tc>
          <w:tcPr>
            <w:tcW w:type="dxa" w:w="24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Availability</w:t>
            </w:r>
          </w:p>
        </w:tc>
        <w:tc>
          <w:tcPr>
            <w:tcW w:type="dxa" w:w="732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99.5% uptime SLA minimum. Planned maintenance windows communicated 48 hours in advance.</w:t>
            </w:r>
          </w:p>
        </w:tc>
      </w:tr>
      <w:tr>
        <w:tc>
          <w:tcPr>
            <w:tcW w:type="dxa" w:w="24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Scalability</w:t>
            </w:r>
          </w:p>
        </w:tc>
        <w:tc>
          <w:tcPr>
            <w:tcW w:type="dxa" w:w="732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Architecture must support horizontal scaling. Must handle concurrent sessions without degradation.</w:t>
            </w:r>
          </w:p>
        </w:tc>
      </w:tr>
      <w:tr>
        <w:tc>
          <w:tcPr>
            <w:tcW w:type="dxa" w:w="24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Security</w:t>
            </w:r>
          </w:p>
        </w:tc>
        <w:tc>
          <w:tcPr>
            <w:tcW w:type="dxa" w:w="732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All data in transit encrypted via TLS 1.2 minimum. All data at rest encrypted. No API keys exposed client-side.</w:t>
            </w:r>
          </w:p>
        </w:tc>
      </w:tr>
      <w:tr>
        <w:tc>
          <w:tcPr>
            <w:tcW w:type="dxa" w:w="24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Data privacy</w:t>
            </w:r>
          </w:p>
        </w:tc>
        <w:tc>
          <w:tcPr>
            <w:tcW w:type="dxa" w:w="732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Compliant with GDPR, South Africa POPIA, and Nigeria NDPR. User data deletion capability required.</w:t>
            </w:r>
          </w:p>
        </w:tc>
      </w:tr>
      <w:tr>
        <w:tc>
          <w:tcPr>
            <w:tcW w:type="dxa" w:w="24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Browser support</w:t>
            </w:r>
          </w:p>
        </w:tc>
        <w:tc>
          <w:tcPr>
            <w:tcW w:type="dxa" w:w="732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Latest two versions of Chrome, Safari, Firefox, and Edge. Mobile-responsive across all modules.</w:t>
            </w:r>
          </w:p>
        </w:tc>
      </w:tr>
      <w:tr>
        <w:tc>
          <w:tcPr>
            <w:tcW w:type="dxa" w:w="24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Accessibility</w:t>
            </w:r>
          </w:p>
        </w:tc>
        <w:tc>
          <w:tcPr>
            <w:tcW w:type="dxa" w:w="732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WCAG 2.1 AA compliance for all user-facing interfaces.</w:t>
            </w:r>
          </w:p>
        </w:tc>
      </w:tr>
      <w:tr>
        <w:tc>
          <w:tcPr>
            <w:tcW w:type="dxa" w:w="24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Recording</w:t>
            </w:r>
          </w:p>
        </w:tc>
        <w:tc>
          <w:tcPr>
            <w:tcW w:type="dxa" w:w="732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In-browser recording must use MediaRecorder API. No third-party recording plugin required for basic functionality.</w:t>
            </w:r>
          </w:p>
        </w:tc>
      </w:tr>
      <w:tr>
        <w:tc>
          <w:tcPr>
            <w:tcW w:type="dxa" w:w="24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Audit logging</w:t>
            </w:r>
          </w:p>
        </w:tc>
        <w:tc>
          <w:tcPr>
            <w:tcW w:type="dxa" w:w="732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All significant user actions and system events must be logged with timestamps and user identifiers.</w:t>
            </w:r>
          </w:p>
        </w:tc>
      </w:tr>
    </w:tbl>
    <w:p>
      <w:pPr>
        <w:spacing w:before="0" w:after="0"/>
      </w:pPr>
      <w:r>
        <w:br/>
      </w:r>
    </w:p>
    <w:p>
      <w:pPr>
        <w:pStyle w:val="Heading1"/>
        <w:pBdr>
          <w:bottom w:val="single" w:color="3A6BC4" w:sz="8" w:space="4"/>
        </w:pBdr>
        <w:spacing w:before="360" w:after="120"/>
      </w:pPr>
      <w:r>
        <w:rPr>
          <w:rFonts w:ascii="Arial" w:cs="Arial" w:eastAsia="Arial" w:hAnsi="Arial"/>
          <w:b/>
          <w:bCs/>
          <w:color w:val="1B2A4A"/>
          <w:sz w:val="36"/>
          <w:szCs w:val="36"/>
        </w:rPr>
        <w:t xml:space="preserve">3. Module Group A — General Platform</w:t>
      </w:r>
    </w:p>
    <w:p>
      <w:pPr>
        <w:spacing w:before="0" w:after="80"/>
        <w:jc w:val="left"/>
      </w:pPr>
      <w:r>
        <w:rPr>
          <w:rFonts w:ascii="Arial" w:cs="Arial" w:eastAsia="Arial" w:hAnsi="Arial"/>
          <w:color w:val="1A1A2E"/>
          <w:sz w:val="20"/>
          <w:szCs w:val="20"/>
        </w:rPr>
        <w:t xml:space="preserve">This module group covers all foundational platform functionality required before any coaching features are accessible. These modules underpin the entire platform and must be delivered as a prerequisite to all other module groups.</w:t>
      </w:r>
    </w:p>
    <w:p>
      <w:pPr>
        <w:pBdr>
          <w:bottom w:val="single" w:color="E2E8F0" w:sz="2" w:space="1"/>
        </w:pBdr>
        <w:spacing w:before="160" w:after="160"/>
      </w:pPr>
      <w:r>
        <w:t xml:space="preserve"/>
      </w:r>
    </w:p>
    <w:p>
      <w:pPr>
        <w:pStyle w:val="Heading2"/>
        <w:shd w:fill="D6E4F7" w:val="clear"/>
        <w:spacing w:before="280" w:after="100"/>
        <w:ind w:left="0"/>
      </w:pPr>
      <w:r>
        <w:rPr>
          <w:rFonts w:ascii="Arial" w:cs="Arial" w:eastAsia="Arial" w:hAnsi="Arial"/>
          <w:b/>
          <w:bCs/>
          <w:color w:val="2E4A7A"/>
          <w:sz w:val="28"/>
          <w:szCs w:val="28"/>
        </w:rPr>
        <w:t xml:space="preserve">3.1 User Registration</w:t>
      </w:r>
    </w:p>
    <w:p>
      <w:pPr>
        <w:spacing w:before="0" w:after="80"/>
        <w:jc w:val="left"/>
      </w:pPr>
      <w:r>
        <w:rPr>
          <w:rFonts w:ascii="Arial" w:cs="Arial" w:eastAsia="Arial" w:hAnsi="Arial"/>
          <w:color w:val="1A1A2E"/>
          <w:sz w:val="20"/>
          <w:szCs w:val="20"/>
        </w:rPr>
        <w:t xml:space="preserve">The platform must allow new users to create accounts via multiple registration pathways.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360"/>
      </w:tblGrid>
      <w:tr>
        <w:trPr>
          <w:tblHeader/>
        </w:trPr>
        <w:tc>
          <w:tcPr>
            <w:tcW w:type="dxa" w:w="16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 ID</w:t>
            </w:r>
          </w:p>
        </w:tc>
        <w:tc>
          <w:tcPr>
            <w:tcW w:type="dxa" w:w="37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w:t>
            </w:r>
          </w:p>
        </w:tc>
        <w:tc>
          <w:tcPr>
            <w:tcW w:type="dxa" w:w="43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Acceptance Criteria</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GEN-REG-01</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User can register via email and password.</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Registration form validates email format and password strength. Confirmation email sent on submission. Account inactive until email verified.</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GEN-REG-02</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User can register via OAuth (LinkedIn, Google).</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OAuth flow completes without error. User profile pre-populated from OAuth provider data. No password required.</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GEN-REG-03</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Duplicate email addresses are rejected.</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System returns clear error message if email is already registered. No duplicate records created in database.</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GEN-REG-04</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Email verification is required before access.</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Unverified accounts cannot access any platform features. Verification email contains a tokenised link valid for 24 hours. Resend option available.</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GEN-REG-05</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Registration captures minimum required profile data.</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Fields collected: first name, last name, email, country. All fields validated on submission.</w:t>
            </w:r>
          </w:p>
        </w:tc>
      </w:tr>
    </w:tbl>
    <w:p>
      <w:pPr>
        <w:spacing w:before="80" w:after="80"/>
      </w:pPr>
    </w:p>
    <w:p>
      <w:pPr>
        <w:pStyle w:val="Heading2"/>
        <w:shd w:fill="D6E4F7" w:val="clear"/>
        <w:spacing w:before="280" w:after="100"/>
        <w:ind w:left="0"/>
      </w:pPr>
      <w:r>
        <w:rPr>
          <w:rFonts w:ascii="Arial" w:cs="Arial" w:eastAsia="Arial" w:hAnsi="Arial"/>
          <w:b/>
          <w:bCs/>
          <w:color w:val="2E4A7A"/>
          <w:sz w:val="28"/>
          <w:szCs w:val="28"/>
        </w:rPr>
        <w:t xml:space="preserve">3.2 User Authentication &amp; Login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360"/>
      </w:tblGrid>
      <w:tr>
        <w:trPr>
          <w:tblHeader/>
        </w:trPr>
        <w:tc>
          <w:tcPr>
            <w:tcW w:type="dxa" w:w="16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 ID</w:t>
            </w:r>
          </w:p>
        </w:tc>
        <w:tc>
          <w:tcPr>
            <w:tcW w:type="dxa" w:w="37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w:t>
            </w:r>
          </w:p>
        </w:tc>
        <w:tc>
          <w:tcPr>
            <w:tcW w:type="dxa" w:w="43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Acceptance Criteria</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GEN-AUTH-01</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User can log in with email and password.</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Correct credentials grant access. Incorrect credentials return error without revealing which field is wrong. Account locked after 5 failed attempts.</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GEN-AUTH-02</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User can log in via OAuth provider.</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OAuth login completes and returns user to last visited page. New OAuth users are auto-registered on first login.</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GEN-AUTH-03</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Authenticated sessions are persisted securely.</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Session token stored securely (httpOnly cookie or equivalent). Session expires after configurable inactivity period. Refresh token mechanism implemented.</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GEN-AUTH-04</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User can log out from any page.</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Log out clears session and tokens. User redirected to login page. Subsequent back-navigation does not restore authenticated state.</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GEN-AUTH-05</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Multi-factor authentication is available.</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Users can optionally enable MFA via authenticator app or SMS. MFA enforced for admin accounts.</w:t>
            </w:r>
          </w:p>
        </w:tc>
      </w:tr>
    </w:tbl>
    <w:p>
      <w:pPr>
        <w:spacing w:before="80" w:after="80"/>
      </w:pPr>
    </w:p>
    <w:p>
      <w:pPr>
        <w:pStyle w:val="Heading2"/>
        <w:shd w:fill="D6E4F7" w:val="clear"/>
        <w:spacing w:before="280" w:after="100"/>
        <w:ind w:left="0"/>
      </w:pPr>
      <w:r>
        <w:rPr>
          <w:rFonts w:ascii="Arial" w:cs="Arial" w:eastAsia="Arial" w:hAnsi="Arial"/>
          <w:b/>
          <w:bCs/>
          <w:color w:val="2E4A7A"/>
          <w:sz w:val="28"/>
          <w:szCs w:val="28"/>
        </w:rPr>
        <w:t xml:space="preserve">3.3 Password Management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360"/>
      </w:tblGrid>
      <w:tr>
        <w:trPr>
          <w:tblHeader/>
        </w:trPr>
        <w:tc>
          <w:tcPr>
            <w:tcW w:type="dxa" w:w="16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 ID</w:t>
            </w:r>
          </w:p>
        </w:tc>
        <w:tc>
          <w:tcPr>
            <w:tcW w:type="dxa" w:w="37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w:t>
            </w:r>
          </w:p>
        </w:tc>
        <w:tc>
          <w:tcPr>
            <w:tcW w:type="dxa" w:w="43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Acceptance Criteria</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GEN-PWD-01</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User can request a password reset via email.</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Reset link sent to registered email. Link is tokenised, single-use, and expires after 1 hour. User lands on password reset form on click.</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GEN-PWD-02</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User can change password from within account settings.</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Current password must be confirmed before change is accepted. New password validated against strength requirements. Confirmation email sent on change.</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GEN-PWD-03</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Password strength requirements are enforced.</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Minimum 8 characters, at least one uppercase, one lowercase, one number, one special character. Strength indicator displayed in real time during input.</w:t>
            </w:r>
          </w:p>
        </w:tc>
      </w:tr>
    </w:tbl>
    <w:p>
      <w:pPr>
        <w:spacing w:before="80" w:after="80"/>
      </w:pPr>
    </w:p>
    <w:p>
      <w:pPr>
        <w:pStyle w:val="Heading2"/>
        <w:shd w:fill="D6E4F7" w:val="clear"/>
        <w:spacing w:before="280" w:after="100"/>
        <w:ind w:left="0"/>
      </w:pPr>
      <w:r>
        <w:rPr>
          <w:rFonts w:ascii="Arial" w:cs="Arial" w:eastAsia="Arial" w:hAnsi="Arial"/>
          <w:b/>
          <w:bCs/>
          <w:color w:val="2E4A7A"/>
          <w:sz w:val="28"/>
          <w:szCs w:val="28"/>
        </w:rPr>
        <w:t xml:space="preserve">3.4 User Profile Management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360"/>
      </w:tblGrid>
      <w:tr>
        <w:trPr>
          <w:tblHeader/>
        </w:trPr>
        <w:tc>
          <w:tcPr>
            <w:tcW w:type="dxa" w:w="16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 ID</w:t>
            </w:r>
          </w:p>
        </w:tc>
        <w:tc>
          <w:tcPr>
            <w:tcW w:type="dxa" w:w="37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w:t>
            </w:r>
          </w:p>
        </w:tc>
        <w:tc>
          <w:tcPr>
            <w:tcW w:type="dxa" w:w="43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Acceptance Criteria</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GEN-PRF-01</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User can view and edit their profile.</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Editable fields include: first name, last name, display name, country, bio, profile photo. Changes saved and reflected immediately.</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GEN-PRF-02</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User can upload a profile photo.</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Supported formats: JPG, PNG. Maximum file size 5MB. Photo cropped and resized on upload. Old photo replaced without orphaned files.</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GEN-PRF-03</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User can set a unique public username.</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Username validated for uniqueness on input. Alphanumeric and hyphens only. Minimum 3, maximum 30 characters. Username forms the basis of public profile URL.</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GEN-PRF-04</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User can manage notification preferences.</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Toggle options for: email on new feedback, email on team activity, marketing emails, platform announcements. Preferences saved per user.</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GEN-PRF-05</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User can delete their account.</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Deletion requires password confirmation. All user data deleted or anonymised within 30 days in line with GDPR. User receives confirmation email. Action is irreversible.</w:t>
            </w:r>
          </w:p>
        </w:tc>
      </w:tr>
    </w:tbl>
    <w:p>
      <w:pPr>
        <w:spacing w:before="80" w:after="80"/>
      </w:pPr>
    </w:p>
    <w:p>
      <w:pPr>
        <w:pStyle w:val="Heading2"/>
        <w:shd w:fill="D6E4F7" w:val="clear"/>
        <w:spacing w:before="280" w:after="100"/>
        <w:ind w:left="0"/>
      </w:pPr>
      <w:r>
        <w:rPr>
          <w:rFonts w:ascii="Arial" w:cs="Arial" w:eastAsia="Arial" w:hAnsi="Arial"/>
          <w:b/>
          <w:bCs/>
          <w:color w:val="2E4A7A"/>
          <w:sz w:val="28"/>
          <w:szCs w:val="28"/>
        </w:rPr>
        <w:t xml:space="preserve">3.5 Subscription &amp; Tier Management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360"/>
      </w:tblGrid>
      <w:tr>
        <w:trPr>
          <w:tblHeader/>
        </w:trPr>
        <w:tc>
          <w:tcPr>
            <w:tcW w:type="dxa" w:w="16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 ID</w:t>
            </w:r>
          </w:p>
        </w:tc>
        <w:tc>
          <w:tcPr>
            <w:tcW w:type="dxa" w:w="37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w:t>
            </w:r>
          </w:p>
        </w:tc>
        <w:tc>
          <w:tcPr>
            <w:tcW w:type="dxa" w:w="43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Acceptance Criteria</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GEN-SUB-01</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Platform supports multiple subscription tiers.</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At minimum: Free, Individual, Team, Enterprise. Each tier has configurable feature entitlements managed in the admin panel.</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GEN-SUB-02</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User current tier is enforced across all features.</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Every feature access check reads from the user tier record. Downgraded users immediately lose access to higher-tier features. No bypass possible.</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GEN-SUB-03</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User can view their current plan and usage.</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Dashboard widget shows: current plan name, renewal date, sessions used vs allowed this period, storage used.</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GEN-SUB-04</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Tier upgrades take effect immediately.</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On successful payment, tier updated in real time. No re-login required. New features accessible without page reload.</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GEN-SUB-05</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Tier downgrades are handled gracefully.</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User data is preserved on downgrade. User is notified of features they will lose before confirming. Downgrade takes effect at end of billing period.</w:t>
            </w:r>
          </w:p>
        </w:tc>
      </w:tr>
    </w:tbl>
    <w:p>
      <w:pPr>
        <w:spacing w:before="80" w:after="80"/>
      </w:pPr>
    </w:p>
    <w:p>
      <w:pPr>
        <w:pStyle w:val="Heading2"/>
        <w:shd w:fill="D6E4F7" w:val="clear"/>
        <w:spacing w:before="280" w:after="100"/>
        <w:ind w:left="0"/>
      </w:pPr>
      <w:r>
        <w:rPr>
          <w:rFonts w:ascii="Arial" w:cs="Arial" w:eastAsia="Arial" w:hAnsi="Arial"/>
          <w:b/>
          <w:bCs/>
          <w:color w:val="2E4A7A"/>
          <w:sz w:val="28"/>
          <w:szCs w:val="28"/>
        </w:rPr>
        <w:t xml:space="preserve">3.6 Platform Administration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360"/>
      </w:tblGrid>
      <w:tr>
        <w:trPr>
          <w:tblHeader/>
        </w:trPr>
        <w:tc>
          <w:tcPr>
            <w:tcW w:type="dxa" w:w="16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 ID</w:t>
            </w:r>
          </w:p>
        </w:tc>
        <w:tc>
          <w:tcPr>
            <w:tcW w:type="dxa" w:w="37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w:t>
            </w:r>
          </w:p>
        </w:tc>
        <w:tc>
          <w:tcPr>
            <w:tcW w:type="dxa" w:w="43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Acceptance Criteria</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GEN-ADM-01</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Admin panel accessible to designated admin users only.</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Admin role assigned by super-admin. Admin panel not accessible to standard users. All admin actions logged.</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GEN-ADM-02</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Admin can view, search, and filter all user accounts.</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Search by name, email, tier, registration date, country. Export user list to CSV.</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GEN-ADM-03</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Admin can manually adjust user tier.</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Tier change takes effect immediately. Reason for change logged. User receives notification email.</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GEN-ADM-04</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Admin can deactivate or suspend user accounts.</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Suspended users cannot log in. Suspension reason recorded. User receives notification. Account reactivatable by admin.</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GEN-ADM-05</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Admin can view platform usage statistics.</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Dashboard shows: total registered users, active subscribers by tier, sessions by module per day/week/month, storage consumption.</w:t>
            </w:r>
          </w:p>
        </w:tc>
      </w:tr>
    </w:tbl>
    <w:p>
      <w:pPr>
        <w:spacing w:before="80" w:after="80"/>
      </w:pPr>
    </w:p>
    <w:p>
      <w:pPr>
        <w:spacing w:before="0" w:after="0"/>
      </w:pPr>
      <w:r>
        <w:br/>
      </w:r>
    </w:p>
    <w:p>
      <w:pPr>
        <w:pStyle w:val="Heading1"/>
        <w:pBdr>
          <w:bottom w:val="single" w:color="3A6BC4" w:sz="8" w:space="4"/>
        </w:pBdr>
        <w:spacing w:before="360" w:after="120"/>
      </w:pPr>
      <w:r>
        <w:rPr>
          <w:rFonts w:ascii="Arial" w:cs="Arial" w:eastAsia="Arial" w:hAnsi="Arial"/>
          <w:b/>
          <w:bCs/>
          <w:color w:val="1B2A4A"/>
          <w:sz w:val="36"/>
          <w:szCs w:val="36"/>
        </w:rPr>
        <w:t xml:space="preserve">4. Module Group B — Finance</w:t>
      </w:r>
    </w:p>
    <w:p>
      <w:pPr>
        <w:spacing w:before="0" w:after="80"/>
        <w:jc w:val="left"/>
      </w:pPr>
      <w:r>
        <w:rPr>
          <w:rFonts w:ascii="Arial" w:cs="Arial" w:eastAsia="Arial" w:hAnsi="Arial"/>
          <w:color w:val="1A1A2E"/>
          <w:sz w:val="20"/>
          <w:szCs w:val="20"/>
        </w:rPr>
        <w:t xml:space="preserve">This module group covers all payment processing, subscription billing, and accounting system integration. The platform uses Stripe as the payment gateway and Zoho Books as the accounting system.</w:t>
      </w:r>
    </w:p>
    <w:p>
      <w:pPr>
        <w:pBdr>
          <w:bottom w:val="single" w:color="E2E8F0" w:sz="2" w:space="1"/>
        </w:pBdr>
        <w:spacing w:before="160" w:after="160"/>
      </w:pPr>
      <w:r>
        <w:t xml:space="preserve"/>
      </w:r>
    </w:p>
    <w:p>
      <w:pPr>
        <w:pStyle w:val="Heading2"/>
        <w:shd w:fill="D6E4F7" w:val="clear"/>
        <w:spacing w:before="280" w:after="100"/>
        <w:ind w:left="0"/>
      </w:pPr>
      <w:r>
        <w:rPr>
          <w:rFonts w:ascii="Arial" w:cs="Arial" w:eastAsia="Arial" w:hAnsi="Arial"/>
          <w:b/>
          <w:bCs/>
          <w:color w:val="2E4A7A"/>
          <w:sz w:val="28"/>
          <w:szCs w:val="28"/>
        </w:rPr>
        <w:t xml:space="preserve">4.1 Subscription Billing via Stripe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360"/>
      </w:tblGrid>
      <w:tr>
        <w:trPr>
          <w:tblHeader/>
        </w:trPr>
        <w:tc>
          <w:tcPr>
            <w:tcW w:type="dxa" w:w="16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 ID</w:t>
            </w:r>
          </w:p>
        </w:tc>
        <w:tc>
          <w:tcPr>
            <w:tcW w:type="dxa" w:w="37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w:t>
            </w:r>
          </w:p>
        </w:tc>
        <w:tc>
          <w:tcPr>
            <w:tcW w:type="dxa" w:w="43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Acceptance Criteria</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FIN-STR-01</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User can select and purchase a subscription plan.</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Pricing page displays all available plans with features and pricing. Selecting a plan initiates Stripe Checkout or embedded payment form. Payment confirmation redirects to onboarding or dashboard.</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FIN-STR-02</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Monthly and annual billing cycles are supported.</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User can toggle between monthly and annual pricing before purchase. Annual pricing reflects agreed discount. Billing cycle recorded in Stripe and mirrored in platform database.</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FIN-STR-03</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Recurring payments are handled automatically.</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Stripe webhook triggers platform tier confirmation on each successful renewal. Failed payments trigger dunning sequence. Three failed payment attempts result in downgrade to free tier.</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FIN-STR-04</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User can update their payment method.</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Payment method update available in account settings. Stripe Billing Portal or equivalent used. New method applies to next billing cycle.</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FIN-STR-05</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User can cancel their subscription.</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Cancellation available from account settings. Cancellation takes effect at end of current billing period. User retains access until expiry. Confirmation email sent.</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FIN-STR-06</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Proration is handled on mid-cycle upgrades.</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Upgrading mid-cycle charges only the difference for the remaining period. Stripe handles proration calculation. User sees itemised charge breakdown before confirming.</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FIN-STR-07</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Payment receipts and invoices are accessible to users.</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User can download PDF invoice for every successful payment from their account. Invoices accessible for a minimum of 24 months.</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FIN-STR-08</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Free trial periods are configurable.</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Admin can configure trial length per plan. Trial requires payment method capture. Conversion to paid triggers on trial expiry unless cancelled. Trial status clearly indicated in UI.</w:t>
            </w:r>
          </w:p>
        </w:tc>
      </w:tr>
    </w:tbl>
    <w:p>
      <w:pPr>
        <w:spacing w:before="80" w:after="80"/>
      </w:pPr>
    </w:p>
    <w:p>
      <w:pPr>
        <w:pStyle w:val="Heading2"/>
        <w:shd w:fill="D6E4F7" w:val="clear"/>
        <w:spacing w:before="280" w:after="100"/>
        <w:ind w:left="0"/>
      </w:pPr>
      <w:r>
        <w:rPr>
          <w:rFonts w:ascii="Arial" w:cs="Arial" w:eastAsia="Arial" w:hAnsi="Arial"/>
          <w:b/>
          <w:bCs/>
          <w:color w:val="2E4A7A"/>
          <w:sz w:val="28"/>
          <w:szCs w:val="28"/>
        </w:rPr>
        <w:t xml:space="preserve">4.2 Team Seat Billing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360"/>
      </w:tblGrid>
      <w:tr>
        <w:trPr>
          <w:tblHeader/>
        </w:trPr>
        <w:tc>
          <w:tcPr>
            <w:tcW w:type="dxa" w:w="16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 ID</w:t>
            </w:r>
          </w:p>
        </w:tc>
        <w:tc>
          <w:tcPr>
            <w:tcW w:type="dxa" w:w="37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w:t>
            </w:r>
          </w:p>
        </w:tc>
        <w:tc>
          <w:tcPr>
            <w:tcW w:type="dxa" w:w="43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Acceptance Criteria</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FIN-SEAT-01</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Team subscriptions bill per seat.</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Team plan price is calculated as base fee plus per-seat fee. Seat count set at purchase. Stripe subscription quantity reflects seat count.</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FIN-SEAT-02</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Team admin can add or remove seats mid-cycle.</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Adding seats charges prorated difference immediately. Removing seats reduces cost from next billing cycle. Seat count change reflected in Stripe subscription quantity.</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FIN-SEAT-03</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Seat limits are enforced in real time.</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Attempting to invite a user when all seats are occupied returns error and prompts admin to purchase additional seats. Limit checked server-side.</w:t>
            </w:r>
          </w:p>
        </w:tc>
      </w:tr>
    </w:tbl>
    <w:p>
      <w:pPr>
        <w:spacing w:before="80" w:after="80"/>
      </w:pPr>
    </w:p>
    <w:p>
      <w:pPr>
        <w:pStyle w:val="Heading2"/>
        <w:shd w:fill="D6E4F7" w:val="clear"/>
        <w:spacing w:before="280" w:after="100"/>
        <w:ind w:left="0"/>
      </w:pPr>
      <w:r>
        <w:rPr>
          <w:rFonts w:ascii="Arial" w:cs="Arial" w:eastAsia="Arial" w:hAnsi="Arial"/>
          <w:b/>
          <w:bCs/>
          <w:color w:val="2E4A7A"/>
          <w:sz w:val="28"/>
          <w:szCs w:val="28"/>
        </w:rPr>
        <w:t xml:space="preserve">4.3 Zoho Books Integration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360"/>
      </w:tblGrid>
      <w:tr>
        <w:trPr>
          <w:tblHeader/>
        </w:trPr>
        <w:tc>
          <w:tcPr>
            <w:tcW w:type="dxa" w:w="16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 ID</w:t>
            </w:r>
          </w:p>
        </w:tc>
        <w:tc>
          <w:tcPr>
            <w:tcW w:type="dxa" w:w="37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w:t>
            </w:r>
          </w:p>
        </w:tc>
        <w:tc>
          <w:tcPr>
            <w:tcW w:type="dxa" w:w="43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Acceptance Criteria</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FIN-ZB-01</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New customer records are created in Zoho Books on subscription.</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On first successful payment, a customer contact is created in Zoho Books via API. Contact includes: name, email, country, subscription tier.</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FIN-ZB-02</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Invoices are mirrored from Stripe to Zoho Books.</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Each Stripe invoice triggers creation of a corresponding invoice in Zoho Books via API. Invoice includes line items, amounts, tax, and payment status.</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FIN-ZB-03</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Payment status is synchronised between Stripe and Zoho Books.</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Stripe payment webhooks (paid, failed, refunded) trigger corresponding status updates on Zoho Books invoices. Synchronisation errors logged and alerted.</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FIN-ZB-04</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Refunds processed in Stripe are reflected in Zoho Books.</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Stripe refund webhook triggers credit note creation in Zoho Books. Credit note linked to original invoice.</w:t>
            </w:r>
          </w:p>
        </w:tc>
      </w:tr>
    </w:tbl>
    <w:p>
      <w:pPr>
        <w:spacing w:before="80" w:after="80"/>
      </w:pPr>
    </w:p>
    <w:p>
      <w:pPr>
        <w:spacing w:before="0" w:after="0"/>
      </w:pPr>
      <w:r>
        <w:br/>
      </w:r>
    </w:p>
    <w:p>
      <w:pPr>
        <w:pStyle w:val="Heading1"/>
        <w:pBdr>
          <w:bottom w:val="single" w:color="3A6BC4" w:sz="8" w:space="4"/>
        </w:pBdr>
        <w:spacing w:before="360" w:after="120"/>
      </w:pPr>
      <w:r>
        <w:rPr>
          <w:rFonts w:ascii="Arial" w:cs="Arial" w:eastAsia="Arial" w:hAnsi="Arial"/>
          <w:b/>
          <w:bCs/>
          <w:color w:val="1B2A4A"/>
          <w:sz w:val="36"/>
          <w:szCs w:val="36"/>
        </w:rPr>
        <w:t xml:space="preserve">5. Module Group C — CRM &amp; Marketing Automation</w:t>
      </w:r>
    </w:p>
    <w:p>
      <w:pPr>
        <w:spacing w:before="0" w:after="80"/>
        <w:jc w:val="left"/>
      </w:pPr>
      <w:r>
        <w:rPr>
          <w:rFonts w:ascii="Arial" w:cs="Arial" w:eastAsia="Arial" w:hAnsi="Arial"/>
          <w:color w:val="1A1A2E"/>
          <w:sz w:val="20"/>
          <w:szCs w:val="20"/>
        </w:rPr>
        <w:t xml:space="preserve">This module group covers the integration between the platform and Zoho CRM for customer record management, and Zoho Campaigns for email sequence automation. All marketing and nurturing communications are triggered by platform events and managed via Zoho.</w:t>
      </w:r>
    </w:p>
    <w:p>
      <w:pPr>
        <w:pBdr>
          <w:bottom w:val="single" w:color="E2E8F0" w:sz="2" w:space="1"/>
        </w:pBdr>
        <w:spacing w:before="160" w:after="160"/>
      </w:pPr>
      <w:r>
        <w:t xml:space="preserve"/>
      </w:r>
    </w:p>
    <w:p>
      <w:pPr>
        <w:pStyle w:val="Heading2"/>
        <w:shd w:fill="D6E4F7" w:val="clear"/>
        <w:spacing w:before="280" w:after="100"/>
        <w:ind w:left="0"/>
      </w:pPr>
      <w:r>
        <w:rPr>
          <w:rFonts w:ascii="Arial" w:cs="Arial" w:eastAsia="Arial" w:hAnsi="Arial"/>
          <w:b/>
          <w:bCs/>
          <w:color w:val="2E4A7A"/>
          <w:sz w:val="28"/>
          <w:szCs w:val="28"/>
        </w:rPr>
        <w:t xml:space="preserve">5.1 Zoho CRM Integration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360"/>
      </w:tblGrid>
      <w:tr>
        <w:trPr>
          <w:tblHeader/>
        </w:trPr>
        <w:tc>
          <w:tcPr>
            <w:tcW w:type="dxa" w:w="16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 ID</w:t>
            </w:r>
          </w:p>
        </w:tc>
        <w:tc>
          <w:tcPr>
            <w:tcW w:type="dxa" w:w="37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w:t>
            </w:r>
          </w:p>
        </w:tc>
        <w:tc>
          <w:tcPr>
            <w:tcW w:type="dxa" w:w="43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Acceptance Criteria</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CRM-ZC-01</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New user registrations create a contact record in Zoho CRM.</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On verified registration, a new contact is created in Zoho CRM via API. Fields mapped: first name, last name, email, country, registration date, platform tier, source.</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CRM-ZC-02</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Subscription events update the CRM contact record.</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Plan purchase, upgrade, downgrade, cancellation, and renewal events update the corresponding CRM contact fields in real time via webhook.</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CRM-ZC-03</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Session activity is logged against the CRM contact.</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Each completed coaching session creates an activity record in Zoho CRM linked to the contact. Activity includes: module used, date, session score if applicable.</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CRM-ZC-04</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Duplicate contacts are detected and prevented.</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Before creating a new CRM contact, system checks for existing record by email. If found, record is updated rather than duplicated.</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CRM-ZC-05</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CRM field mapping is configurable by admin.</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Admin panel allows mapping of platform fields to Zoho CRM fields. Changes take effect without redeployment.</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CRM-ZC-06</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Integration errors are handled and logged.</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Failed CRM API calls are retried up to 3 times with exponential backoff. Persistent failures logged with full error detail. Admin alert triggered after 3 failures on the same event.</w:t>
            </w:r>
          </w:p>
        </w:tc>
      </w:tr>
    </w:tbl>
    <w:p>
      <w:pPr>
        <w:spacing w:before="80" w:after="80"/>
      </w:pPr>
    </w:p>
    <w:p>
      <w:pPr>
        <w:pStyle w:val="Heading2"/>
        <w:shd w:fill="D6E4F7" w:val="clear"/>
        <w:spacing w:before="280" w:after="100"/>
        <w:ind w:left="0"/>
      </w:pPr>
      <w:r>
        <w:rPr>
          <w:rFonts w:ascii="Arial" w:cs="Arial" w:eastAsia="Arial" w:hAnsi="Arial"/>
          <w:b/>
          <w:bCs/>
          <w:color w:val="2E4A7A"/>
          <w:sz w:val="28"/>
          <w:szCs w:val="28"/>
        </w:rPr>
        <w:t xml:space="preserve">5.2 Zoho Campaigns Email Automation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360"/>
      </w:tblGrid>
      <w:tr>
        <w:trPr>
          <w:tblHeader/>
        </w:trPr>
        <w:tc>
          <w:tcPr>
            <w:tcW w:type="dxa" w:w="16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 ID</w:t>
            </w:r>
          </w:p>
        </w:tc>
        <w:tc>
          <w:tcPr>
            <w:tcW w:type="dxa" w:w="37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w:t>
            </w:r>
          </w:p>
        </w:tc>
        <w:tc>
          <w:tcPr>
            <w:tcW w:type="dxa" w:w="43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Acceptance Criteria</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CRM-CAM-01</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Users are added to the appropriate Zoho Campaigns mailing list on registration.</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On verified registration, user email and name added to a designated list in Zoho Campaigns via API. List assignment configurable per user tier.</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CRM-CAM-02</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Platform events trigger email sequences in Zoho Campaigns.</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Configurable trigger events include: registration, first session completion, subscription purchase, trial expiry warning, inactivity (configurable period), subscription cancellation.</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CRM-CAM-03</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Email sequence assignment is configurable without code changes.</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Admin can map platform events to Zoho Campaigns sequences via the admin panel. Sequence IDs entered by admin. No redeployment required.</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CRM-CAM-04</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Users who unsubscribe from marketing email are respected.</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Zoho Campaigns unsubscribe events update user marketing preference in the platform database. Unsubscribed users not re-added to marketing lists. Transactional emails unaffected.</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CRM-CAM-05</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List membership is updated on subscription tier change.</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User moved from one tier list to another on plan change. Removed from old list. Added to new list. Event logged.</w:t>
            </w:r>
          </w:p>
        </w:tc>
      </w:tr>
    </w:tbl>
    <w:p>
      <w:pPr>
        <w:spacing w:before="80" w:after="80"/>
      </w:pPr>
    </w:p>
    <w:p>
      <w:pPr>
        <w:spacing w:before="0" w:after="0"/>
      </w:pPr>
      <w:r>
        <w:br/>
      </w:r>
    </w:p>
    <w:p>
      <w:pPr>
        <w:pStyle w:val="Heading1"/>
        <w:pBdr>
          <w:bottom w:val="single" w:color="3A6BC4" w:sz="8" w:space="4"/>
        </w:pBdr>
        <w:spacing w:before="360" w:after="120"/>
      </w:pPr>
      <w:r>
        <w:rPr>
          <w:rFonts w:ascii="Arial" w:cs="Arial" w:eastAsia="Arial" w:hAnsi="Arial"/>
          <w:b/>
          <w:bCs/>
          <w:color w:val="1B2A4A"/>
          <w:sz w:val="36"/>
          <w:szCs w:val="36"/>
        </w:rPr>
        <w:t xml:space="preserve">6. Module Group D — Single Sign-On</w:t>
      </w:r>
    </w:p>
    <w:p>
      <w:pPr>
        <w:spacing w:before="0" w:after="80"/>
        <w:jc w:val="left"/>
      </w:pPr>
      <w:r>
        <w:rPr>
          <w:rFonts w:ascii="Arial" w:cs="Arial" w:eastAsia="Arial" w:hAnsi="Arial"/>
          <w:color w:val="1A1A2E"/>
          <w:sz w:val="20"/>
          <w:szCs w:val="20"/>
        </w:rPr>
        <w:t xml:space="preserve">This module group covers unified authentication across three platforms: the core coaching application, Zoho Trainer Central (online training), and Zoho Public Spaces (community). Users must be able to move between all three without re-authenticating.</w:t>
      </w:r>
    </w:p>
    <w:p>
      <w:pPr>
        <w:pBdr>
          <w:bottom w:val="single" w:color="E2E8F0" w:sz="2" w:space="1"/>
        </w:pBdr>
        <w:spacing w:before="160" w:after="160"/>
      </w:pPr>
      <w:r>
        <w:t xml:space="preserve"/>
      </w:r>
    </w:p>
    <w:p>
      <w:pPr>
        <w:pStyle w:val="Heading2"/>
        <w:shd w:fill="D6E4F7" w:val="clear"/>
        <w:spacing w:before="280" w:after="100"/>
        <w:ind w:left="0"/>
      </w:pPr>
      <w:r>
        <w:rPr>
          <w:rFonts w:ascii="Arial" w:cs="Arial" w:eastAsia="Arial" w:hAnsi="Arial"/>
          <w:b/>
          <w:bCs/>
          <w:color w:val="2E4A7A"/>
          <w:sz w:val="28"/>
          <w:szCs w:val="28"/>
        </w:rPr>
        <w:t xml:space="preserve">6.1 Core Application SSO</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360"/>
      </w:tblGrid>
      <w:tr>
        <w:trPr>
          <w:tblHeader/>
        </w:trPr>
        <w:tc>
          <w:tcPr>
            <w:tcW w:type="dxa" w:w="16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 ID</w:t>
            </w:r>
          </w:p>
        </w:tc>
        <w:tc>
          <w:tcPr>
            <w:tcW w:type="dxa" w:w="37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w:t>
            </w:r>
          </w:p>
        </w:tc>
        <w:tc>
          <w:tcPr>
            <w:tcW w:type="dxa" w:w="43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Acceptance Criteria</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SSO-CORE-01</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Authentication is centralised via a single identity provider.</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Clerk or equivalent acts as the identity provider. All platform authentication routes through this service. No parallel authentication systems.</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SSO-CORE-02</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Session tokens are consistent across platform subdomains.</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Users logged into the main application are authenticated across all subdomains without additional login prompts.</w:t>
            </w:r>
          </w:p>
        </w:tc>
      </w:tr>
    </w:tbl>
    <w:p>
      <w:pPr>
        <w:spacing w:before="80" w:after="80"/>
      </w:pPr>
    </w:p>
    <w:p>
      <w:pPr>
        <w:pStyle w:val="Heading2"/>
        <w:shd w:fill="D6E4F7" w:val="clear"/>
        <w:spacing w:before="280" w:after="100"/>
        <w:ind w:left="0"/>
      </w:pPr>
      <w:r>
        <w:rPr>
          <w:rFonts w:ascii="Arial" w:cs="Arial" w:eastAsia="Arial" w:hAnsi="Arial"/>
          <w:b/>
          <w:bCs/>
          <w:color w:val="2E4A7A"/>
          <w:sz w:val="28"/>
          <w:szCs w:val="28"/>
        </w:rPr>
        <w:t xml:space="preserve">6.2 Zoho Trainer Central SSO</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360"/>
      </w:tblGrid>
      <w:tr>
        <w:trPr>
          <w:tblHeader/>
        </w:trPr>
        <w:tc>
          <w:tcPr>
            <w:tcW w:type="dxa" w:w="16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 ID</w:t>
            </w:r>
          </w:p>
        </w:tc>
        <w:tc>
          <w:tcPr>
            <w:tcW w:type="dxa" w:w="37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w:t>
            </w:r>
          </w:p>
        </w:tc>
        <w:tc>
          <w:tcPr>
            <w:tcW w:type="dxa" w:w="43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Acceptance Criteria</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SSO-TC-01</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Authenticated platform users can access Zoho Trainer Central without re-logging in.</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Clicking a link or button to access training content initiates a SAML 2.0 or OAuth 2.0 SSO flow. User arrives in Trainer Central authenticated. No separate Trainer Central login required.</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SSO-TC-02</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SSO to Trainer Central respects subscription tier entitlements.</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Users without access to training content are redirected to an upgrade prompt rather than to Trainer Central. Access check performed before initiating SSO flow.</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SSO-TC-03</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User account in Trainer Central is created automatically on first SSO.</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First SSO to Trainer Central provisions a user account using profile data from the platform. Subsequent SSOs authenticate to the existing account.</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SSO-TC-04</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Logout from the platform terminates the Trainer Central session.</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Platform logout triggers session termination in Trainer Central via back-channel logout or token invalidation where supported by Zoho API.</w:t>
            </w:r>
          </w:p>
        </w:tc>
      </w:tr>
    </w:tbl>
    <w:p>
      <w:pPr>
        <w:spacing w:before="80" w:after="80"/>
      </w:pPr>
    </w:p>
    <w:p>
      <w:pPr>
        <w:pStyle w:val="Heading2"/>
        <w:shd w:fill="D6E4F7" w:val="clear"/>
        <w:spacing w:before="280" w:after="100"/>
        <w:ind w:left="0"/>
      </w:pPr>
      <w:r>
        <w:rPr>
          <w:rFonts w:ascii="Arial" w:cs="Arial" w:eastAsia="Arial" w:hAnsi="Arial"/>
          <w:b/>
          <w:bCs/>
          <w:color w:val="2E4A7A"/>
          <w:sz w:val="28"/>
          <w:szCs w:val="28"/>
        </w:rPr>
        <w:t xml:space="preserve">6.3 Zoho Public Spaces SSO</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360"/>
      </w:tblGrid>
      <w:tr>
        <w:trPr>
          <w:tblHeader/>
        </w:trPr>
        <w:tc>
          <w:tcPr>
            <w:tcW w:type="dxa" w:w="16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 ID</w:t>
            </w:r>
          </w:p>
        </w:tc>
        <w:tc>
          <w:tcPr>
            <w:tcW w:type="dxa" w:w="37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w:t>
            </w:r>
          </w:p>
        </w:tc>
        <w:tc>
          <w:tcPr>
            <w:tcW w:type="dxa" w:w="43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Acceptance Criteria</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SSO-PS-01</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Authenticated platform users can access Zoho Public Spaces without re-logging in.</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SSO flow equivalent to Trainer Central. SAML 2.0 or OAuth 2.0 as supported by Zoho Public Spaces. User arrives authenticated.</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SSO-PS-02</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Community access is restricted to eligible subscribers.</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Tier entitlement check before SSO initiation. Ineligible users shown upgrade prompt.</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SSO-PS-03</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User display name in Public Spaces matches platform profile.</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Display name and profile photo passed via SSO assertion. Consistent identity across platforms.</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SSO-PS-04</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Platform logout terminates the Public Spaces session.</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Equivalent to Trainer Central logout behaviour. Session terminated on platform logout where API supports it.</w:t>
            </w:r>
          </w:p>
        </w:tc>
      </w:tr>
    </w:tbl>
    <w:p>
      <w:pPr>
        <w:spacing w:before="80" w:after="80"/>
      </w:pPr>
    </w:p>
    <w:p>
      <w:pPr>
        <w:pStyle w:val="Heading2"/>
        <w:shd w:fill="D6E4F7" w:val="clear"/>
        <w:spacing w:before="280" w:after="100"/>
        <w:ind w:left="0"/>
      </w:pPr>
      <w:r>
        <w:rPr>
          <w:rFonts w:ascii="Arial" w:cs="Arial" w:eastAsia="Arial" w:hAnsi="Arial"/>
          <w:b/>
          <w:bCs/>
          <w:color w:val="2E4A7A"/>
          <w:sz w:val="28"/>
          <w:szCs w:val="28"/>
        </w:rPr>
        <w:t xml:space="preserve">6.4 SSO Error Handling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360"/>
      </w:tblGrid>
      <w:tr>
        <w:trPr>
          <w:tblHeader/>
        </w:trPr>
        <w:tc>
          <w:tcPr>
            <w:tcW w:type="dxa" w:w="16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 ID</w:t>
            </w:r>
          </w:p>
        </w:tc>
        <w:tc>
          <w:tcPr>
            <w:tcW w:type="dxa" w:w="37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w:t>
            </w:r>
          </w:p>
        </w:tc>
        <w:tc>
          <w:tcPr>
            <w:tcW w:type="dxa" w:w="43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Acceptance Criteria</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SSO-ERR-01</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SSO failures return the user to the platform with a clear error message.</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Failed SSO assertion or OAuth error returns user to the originating platform page. User-friendly error message displayed. Technical error detail logged server-side only.</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SSO-ERR-02</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SSO configuration is manageable from the admin panel.</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SAML/OAuth credentials and endpoints configurable from admin panel without code changes. Configuration changes take effect without redeployment.</w:t>
            </w:r>
          </w:p>
        </w:tc>
      </w:tr>
    </w:tbl>
    <w:p>
      <w:pPr>
        <w:spacing w:before="80" w:after="80"/>
      </w:pPr>
    </w:p>
    <w:p>
      <w:pPr>
        <w:spacing w:before="0" w:after="0"/>
      </w:pPr>
      <w:r>
        <w:br/>
      </w:r>
    </w:p>
    <w:p>
      <w:pPr>
        <w:pStyle w:val="Heading1"/>
        <w:pBdr>
          <w:bottom w:val="single" w:color="3A6BC4" w:sz="8" w:space="4"/>
        </w:pBdr>
        <w:spacing w:before="360" w:after="120"/>
      </w:pPr>
      <w:r>
        <w:rPr>
          <w:rFonts w:ascii="Arial" w:cs="Arial" w:eastAsia="Arial" w:hAnsi="Arial"/>
          <w:b/>
          <w:bCs/>
          <w:color w:val="1B2A4A"/>
          <w:sz w:val="36"/>
          <w:szCs w:val="36"/>
        </w:rPr>
        <w:t xml:space="preserve">7. Module E1 — Pitch Deck Analyser</w:t>
      </w:r>
    </w:p>
    <w:p>
      <w:pPr>
        <w:spacing w:before="0" w:after="80"/>
        <w:jc w:val="left"/>
      </w:pPr>
      <w:r>
        <w:rPr>
          <w:rFonts w:ascii="Arial" w:cs="Arial" w:eastAsia="Arial" w:hAnsi="Arial"/>
          <w:color w:val="1A1A2E"/>
          <w:sz w:val="20"/>
          <w:szCs w:val="20"/>
        </w:rPr>
        <w:t xml:space="preserve">This module enables users to upload a pitch deck file and receive structured AI-generated feedback. Feedback is generated against a configurable evaluation framework defined by the client. The module must support multiple file formats and return a scored, structured report.</w:t>
      </w:r>
    </w:p>
    <w:p>
      <w:pPr>
        <w:pBdr>
          <w:bottom w:val="single" w:color="E2E8F0" w:sz="2" w:space="1"/>
        </w:pBdr>
        <w:spacing w:before="160" w:after="160"/>
      </w:pPr>
      <w:r>
        <w:t xml:space="preserve"/>
      </w:r>
    </w:p>
    <w:p>
      <w:pPr>
        <w:pStyle w:val="Heading2"/>
        <w:shd w:fill="D6E4F7" w:val="clear"/>
        <w:spacing w:before="280" w:after="100"/>
        <w:ind w:left="0"/>
      </w:pPr>
      <w:r>
        <w:rPr>
          <w:rFonts w:ascii="Arial" w:cs="Arial" w:eastAsia="Arial" w:hAnsi="Arial"/>
          <w:b/>
          <w:bCs/>
          <w:color w:val="2E4A7A"/>
          <w:sz w:val="28"/>
          <w:szCs w:val="28"/>
        </w:rPr>
        <w:t xml:space="preserve">7.1 File Upload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360"/>
      </w:tblGrid>
      <w:tr>
        <w:trPr>
          <w:tblHeader/>
        </w:trPr>
        <w:tc>
          <w:tcPr>
            <w:tcW w:type="dxa" w:w="16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 ID</w:t>
            </w:r>
          </w:p>
        </w:tc>
        <w:tc>
          <w:tcPr>
            <w:tcW w:type="dxa" w:w="37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w:t>
            </w:r>
          </w:p>
        </w:tc>
        <w:tc>
          <w:tcPr>
            <w:tcW w:type="dxa" w:w="43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Acceptance Criteria</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PDA-UPL-01</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User can upload a pitch deck file.</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Supported formats: PDF, PPTX, PPT. Maximum file size: 50MB. File validated on upload. Unsupported formats or oversized files rejected with clear error message.</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PDA-UPL-02</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File upload supports drag-and-drop and file browser selection.</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Both interaction methods functional across all supported browsers. Upload progress indicator displayed. Upload can be cancelled before completion.</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PDA-UPL-03</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Uploaded file is stored securely.</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File stored in cloud object storage. File access restricted to the uploading user and authorised platform services. File URL not publicly guessable.</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PDA-UPL-04</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User can remove an uploaded file before submitting for analysis.</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Clear/remove button resets the upload state. Removed file is deleted from storage. User can upload a replacement file.</w:t>
            </w:r>
          </w:p>
        </w:tc>
      </w:tr>
    </w:tbl>
    <w:p>
      <w:pPr>
        <w:spacing w:before="80" w:after="80"/>
      </w:pPr>
    </w:p>
    <w:p>
      <w:pPr>
        <w:pStyle w:val="Heading2"/>
        <w:shd w:fill="D6E4F7" w:val="clear"/>
        <w:spacing w:before="280" w:after="100"/>
        <w:ind w:left="0"/>
      </w:pPr>
      <w:r>
        <w:rPr>
          <w:rFonts w:ascii="Arial" w:cs="Arial" w:eastAsia="Arial" w:hAnsi="Arial"/>
          <w:b/>
          <w:bCs/>
          <w:color w:val="2E4A7A"/>
          <w:sz w:val="28"/>
          <w:szCs w:val="28"/>
        </w:rPr>
        <w:t xml:space="preserve">7.2 Analysis Processing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360"/>
      </w:tblGrid>
      <w:tr>
        <w:trPr>
          <w:tblHeader/>
        </w:trPr>
        <w:tc>
          <w:tcPr>
            <w:tcW w:type="dxa" w:w="16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 ID</w:t>
            </w:r>
          </w:p>
        </w:tc>
        <w:tc>
          <w:tcPr>
            <w:tcW w:type="dxa" w:w="37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w:t>
            </w:r>
          </w:p>
        </w:tc>
        <w:tc>
          <w:tcPr>
            <w:tcW w:type="dxa" w:w="43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Acceptance Criteria</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PDA-ANL-01</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Uploaded deck is submitted to the AI model for analysis.</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On user submission, deck content is passed to the AI API. PDF files passed as documents. PPTX files converted to PDF server-side before analysis. Processing indicator displayed to user.</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PDA-ANL-02</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Analysis is performed against a configurable evaluation framework.</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The evaluation framework (criteria, scoring dimensions, weighting) is configurable via admin panel. Framework changes apply to subsequent analyses without redeployment.</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PDA-ANL-03</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Analysis completes within an acceptable time limit.</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AI response received and feedback rendered within 45 seconds for standard decks. Timeout handled gracefully with user notification and retry option if exceeded.</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PDA-ANL-04</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Analysis errors are handled gracefully.</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AI API errors or timeouts return a user-friendly message. Error detail logged server-side. User offered retry option. No partial or corrupted feedback displayed.</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PDA-ANL-05</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Analysis includes both content and visual design dimensions.</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Content analysis evaluates coverage of each framework element. Visual analysis evaluates slide density, colour palette, typography, data presentation, and brand consistency. Both dimensions scored independently.</w:t>
            </w:r>
          </w:p>
        </w:tc>
      </w:tr>
    </w:tbl>
    <w:p>
      <w:pPr>
        <w:spacing w:before="80" w:after="80"/>
      </w:pPr>
    </w:p>
    <w:p>
      <w:pPr>
        <w:pStyle w:val="Heading2"/>
        <w:shd w:fill="D6E4F7" w:val="clear"/>
        <w:spacing w:before="280" w:after="100"/>
        <w:ind w:left="0"/>
      </w:pPr>
      <w:r>
        <w:rPr>
          <w:rFonts w:ascii="Arial" w:cs="Arial" w:eastAsia="Arial" w:hAnsi="Arial"/>
          <w:b/>
          <w:bCs/>
          <w:color w:val="2E4A7A"/>
          <w:sz w:val="28"/>
          <w:szCs w:val="28"/>
        </w:rPr>
        <w:t xml:space="preserve">7.3 Feedback Report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360"/>
      </w:tblGrid>
      <w:tr>
        <w:trPr>
          <w:tblHeader/>
        </w:trPr>
        <w:tc>
          <w:tcPr>
            <w:tcW w:type="dxa" w:w="16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 ID</w:t>
            </w:r>
          </w:p>
        </w:tc>
        <w:tc>
          <w:tcPr>
            <w:tcW w:type="dxa" w:w="37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w:t>
            </w:r>
          </w:p>
        </w:tc>
        <w:tc>
          <w:tcPr>
            <w:tcW w:type="dxa" w:w="43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Acceptance Criteria</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PDA-RPT-01</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Feedback is displayed as a structured on-screen report.</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Report renders within the application. Includes: overall score, executive summary, per-element scores and feedback, visual design scores and feedback, priority action list.</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PDA-RPT-02</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Each evaluated element is scored on a 0–100 scale.</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Numeric score displayed with visual indicator (progress bar or equivalent). Colour coding distinguishes score ranges. Scores rendered without page reload after analysis.</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PDA-RPT-03</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Feedback includes specific strengths and improvement actions per element.</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Each evaluated element shows: what is working well, one specific improvement action. Content is specific to the uploaded deck, not generic.</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PDA-RPT-04</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Report includes a prioritised action list.</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Top 3 priority actions displayed prominently. Actions are specific and actionable. Derived from lowest-scoring elements.</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PDA-RPT-05</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User can save a session.</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Completed analysis saved to user account. Session accessible from session history. Saved session includes original file, feedback data, scores, and timestamp.</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PDA-RPT-06</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User can download feedback as a PDF report.</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Download button generates a formatted PDF of the feedback report. PDF includes all scores, feedback text, and action items. Branded with platform identity.</w:t>
            </w:r>
          </w:p>
        </w:tc>
      </w:tr>
    </w:tbl>
    <w:p>
      <w:pPr>
        <w:spacing w:before="80" w:after="80"/>
      </w:pPr>
    </w:p>
    <w:p>
      <w:pPr>
        <w:pStyle w:val="Heading2"/>
        <w:shd w:fill="D6E4F7" w:val="clear"/>
        <w:spacing w:before="280" w:after="100"/>
        <w:ind w:left="0"/>
      </w:pPr>
      <w:r>
        <w:rPr>
          <w:rFonts w:ascii="Arial" w:cs="Arial" w:eastAsia="Arial" w:hAnsi="Arial"/>
          <w:b/>
          <w:bCs/>
          <w:color w:val="2E4A7A"/>
          <w:sz w:val="28"/>
          <w:szCs w:val="28"/>
        </w:rPr>
        <w:t xml:space="preserve">7.4 Session Management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360"/>
      </w:tblGrid>
      <w:tr>
        <w:trPr>
          <w:tblHeader/>
        </w:trPr>
        <w:tc>
          <w:tcPr>
            <w:tcW w:type="dxa" w:w="16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 ID</w:t>
            </w:r>
          </w:p>
        </w:tc>
        <w:tc>
          <w:tcPr>
            <w:tcW w:type="dxa" w:w="37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w:t>
            </w:r>
          </w:p>
        </w:tc>
        <w:tc>
          <w:tcPr>
            <w:tcW w:type="dxa" w:w="43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Acceptance Criteria</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PDA-SES-01</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User can view a history of all past deck analysis sessions.</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Session history page lists all saved sessions. Columns: date, deck filename, overall score, module. Sessions sorted by date descending. Pagination for lists over 20 items.</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PDA-SES-02</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User can re-open and view a past session.</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Clicking a past session displays the full feedback report. Original file download available from the session view.</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PDA-SES-03</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User can delete a saved session.</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Delete action requires confirmation. Deleted session and associated file removed from storage. Action irreversible.</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PDA-SES-04</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Session count is tracked against subscription limits.</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Each completed analysis counted against the user tier allowance. Counter updated in real time. User notified when approaching or reaching limit.</w:t>
            </w:r>
          </w:p>
        </w:tc>
      </w:tr>
    </w:tbl>
    <w:p>
      <w:pPr>
        <w:spacing w:before="80" w:after="80"/>
      </w:pPr>
    </w:p>
    <w:p>
      <w:pPr>
        <w:spacing w:before="0" w:after="0"/>
      </w:pPr>
      <w:r>
        <w:br/>
      </w:r>
    </w:p>
    <w:p>
      <w:pPr>
        <w:pStyle w:val="Heading1"/>
        <w:pBdr>
          <w:bottom w:val="single" w:color="3A6BC4" w:sz="8" w:space="4"/>
        </w:pBdr>
        <w:spacing w:before="360" w:after="120"/>
      </w:pPr>
      <w:r>
        <w:rPr>
          <w:rFonts w:ascii="Arial" w:cs="Arial" w:eastAsia="Arial" w:hAnsi="Arial"/>
          <w:b/>
          <w:bCs/>
          <w:color w:val="1B2A4A"/>
          <w:sz w:val="36"/>
          <w:szCs w:val="36"/>
        </w:rPr>
        <w:t xml:space="preserve">8. Module E2 — Elevator Pitch Script Coach</w:t>
      </w:r>
    </w:p>
    <w:p>
      <w:pPr>
        <w:spacing w:before="0" w:after="80"/>
        <w:jc w:val="left"/>
      </w:pPr>
      <w:r>
        <w:rPr>
          <w:rFonts w:ascii="Arial" w:cs="Arial" w:eastAsia="Arial" w:hAnsi="Arial"/>
          <w:color w:val="1A1A2E"/>
          <w:sz w:val="20"/>
          <w:szCs w:val="20"/>
        </w:rPr>
        <w:t xml:space="preserve">This module enables users to submit a written pitch script — via file upload or direct text input — and receive structured AI-generated feedback against a defined elevator pitch framework. The framework used for evaluation is configurable and defined by the client.</w:t>
      </w:r>
    </w:p>
    <w:p>
      <w:pPr>
        <w:pBdr>
          <w:bottom w:val="single" w:color="E2E8F0" w:sz="2" w:space="1"/>
        </w:pBdr>
        <w:spacing w:before="160" w:after="160"/>
      </w:pPr>
      <w:r>
        <w:t xml:space="preserve"/>
      </w:r>
    </w:p>
    <w:p>
      <w:pPr>
        <w:pStyle w:val="Heading2"/>
        <w:shd w:fill="D6E4F7" w:val="clear"/>
        <w:spacing w:before="280" w:after="100"/>
        <w:ind w:left="0"/>
      </w:pPr>
      <w:r>
        <w:rPr>
          <w:rFonts w:ascii="Arial" w:cs="Arial" w:eastAsia="Arial" w:hAnsi="Arial"/>
          <w:b/>
          <w:bCs/>
          <w:color w:val="2E4A7A"/>
          <w:sz w:val="28"/>
          <w:szCs w:val="28"/>
        </w:rPr>
        <w:t xml:space="preserve">8.1 Script Input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360"/>
      </w:tblGrid>
      <w:tr>
        <w:trPr>
          <w:tblHeader/>
        </w:trPr>
        <w:tc>
          <w:tcPr>
            <w:tcW w:type="dxa" w:w="16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 ID</w:t>
            </w:r>
          </w:p>
        </w:tc>
        <w:tc>
          <w:tcPr>
            <w:tcW w:type="dxa" w:w="37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w:t>
            </w:r>
          </w:p>
        </w:tc>
        <w:tc>
          <w:tcPr>
            <w:tcW w:type="dxa" w:w="43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Acceptance Criteria</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ESC-INP-01</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User can paste or type a script directly into the application.</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Text input area accepts plain text up to 5,000 characters. Live word count displayed. No formatting required from user.</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ESC-INP-02</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User can upload a script as a file.</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Supported formats: PDF, DOCX, DOC, TXT, MD. Maximum file size 10MB. File content extracted server-side and treated as script text for analysis.</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ESC-INP-03</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File upload supports drag-and-drop and file browser selection.</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Both interaction methods functional. Upload progress shown. File name displayed on successful upload. User can clear and re-upload.</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ESC-INP-04</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Uploaded DOCX files are parsed to extract plain text.</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DOCX text extraction handles standard formatting, headings, and paragraphs. Extracted text passed to AI for analysis. Extraction errors handled gracefully.</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ESC-INP-05</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Uploaded PDF files are passed directly to the AI model.</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PDF content passed as a document object to the AI API. No intermediate text extraction required for PDF format.</w:t>
            </w:r>
          </w:p>
        </w:tc>
      </w:tr>
    </w:tbl>
    <w:p>
      <w:pPr>
        <w:spacing w:before="80" w:after="80"/>
      </w:pPr>
    </w:p>
    <w:p>
      <w:pPr>
        <w:pStyle w:val="Heading2"/>
        <w:shd w:fill="D6E4F7" w:val="clear"/>
        <w:spacing w:before="280" w:after="100"/>
        <w:ind w:left="0"/>
      </w:pPr>
      <w:r>
        <w:rPr>
          <w:rFonts w:ascii="Arial" w:cs="Arial" w:eastAsia="Arial" w:hAnsi="Arial"/>
          <w:b/>
          <w:bCs/>
          <w:color w:val="2E4A7A"/>
          <w:sz w:val="28"/>
          <w:szCs w:val="28"/>
        </w:rPr>
        <w:t xml:space="preserve">8.2 Analysis Processing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360"/>
      </w:tblGrid>
      <w:tr>
        <w:trPr>
          <w:tblHeader/>
        </w:trPr>
        <w:tc>
          <w:tcPr>
            <w:tcW w:type="dxa" w:w="16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 ID</w:t>
            </w:r>
          </w:p>
        </w:tc>
        <w:tc>
          <w:tcPr>
            <w:tcW w:type="dxa" w:w="37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w:t>
            </w:r>
          </w:p>
        </w:tc>
        <w:tc>
          <w:tcPr>
            <w:tcW w:type="dxa" w:w="43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Acceptance Criteria</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ESC-ANL-01</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Script is submitted to the AI model for evaluation.</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On user submission, script content passed to AI API. Processing indicator displayed. Analysis completes within 30 seconds.</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ESC-ANL-02</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Evaluation is performed against a configurable framework.</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Framework elements, descriptions, and scoring criteria configurable via admin panel. One active framework at a time per module instance. Framework changes apply without redeployment.</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ESC-ANL-03</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Analysis identifies framework elements present in the script.</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AI identifies whether each framework element is present or absent. Relevant excerpt from script highlighted for each identified element. Elements marked absent flagged clearly.</w:t>
            </w:r>
          </w:p>
        </w:tc>
      </w:tr>
    </w:tbl>
    <w:p>
      <w:pPr>
        <w:spacing w:before="80" w:after="80"/>
      </w:pPr>
    </w:p>
    <w:p>
      <w:pPr>
        <w:pStyle w:val="Heading2"/>
        <w:shd w:fill="D6E4F7" w:val="clear"/>
        <w:spacing w:before="280" w:after="100"/>
        <w:ind w:left="0"/>
      </w:pPr>
      <w:r>
        <w:rPr>
          <w:rFonts w:ascii="Arial" w:cs="Arial" w:eastAsia="Arial" w:hAnsi="Arial"/>
          <w:b/>
          <w:bCs/>
          <w:color w:val="2E4A7A"/>
          <w:sz w:val="28"/>
          <w:szCs w:val="28"/>
        </w:rPr>
        <w:t xml:space="preserve">8.3 Feedback Report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360"/>
      </w:tblGrid>
      <w:tr>
        <w:trPr>
          <w:tblHeader/>
        </w:trPr>
        <w:tc>
          <w:tcPr>
            <w:tcW w:type="dxa" w:w="16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 ID</w:t>
            </w:r>
          </w:p>
        </w:tc>
        <w:tc>
          <w:tcPr>
            <w:tcW w:type="dxa" w:w="37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w:t>
            </w:r>
          </w:p>
        </w:tc>
        <w:tc>
          <w:tcPr>
            <w:tcW w:type="dxa" w:w="43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Acceptance Criteria</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ESC-RPT-01</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Feedback report is displayed on-screen.</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Report includes: overall score, estimated spoken duration, word count, per-element scores and feedback, tone analysis, priority actions.</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ESC-RPT-02</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Estimated spoken duration is calculated and displayed.</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Duration estimated based on word count at average speaking pace. Displayed in minutes and seconds. Indication of whether duration is within target range.</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ESC-RPT-03</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Per-element feedback includes a rewrite suggestion.</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For each framework element, AI provides a suggested rewrite of that element. Rewrite clearly labelled and visually distinct from evaluation feedback.</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ESC-RPT-04</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Relevant script excerpts are surfaced in the report.</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For each identified element, the corresponding excerpt from the original script is displayed. Quoted text visually distinct. Elements marked as not found display appropriate indicator.</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ESC-RPT-05</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User can save, download, and revisit sessions.</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Equivalent functionality to Module E1 session management. See PDA-SES-01 through PDA-SES-04.</w:t>
            </w:r>
          </w:p>
        </w:tc>
      </w:tr>
    </w:tbl>
    <w:p>
      <w:pPr>
        <w:spacing w:before="80" w:after="80"/>
      </w:pPr>
    </w:p>
    <w:p>
      <w:pPr>
        <w:spacing w:before="0" w:after="0"/>
      </w:pPr>
      <w:r>
        <w:br/>
      </w:r>
    </w:p>
    <w:p>
      <w:pPr>
        <w:pStyle w:val="Heading1"/>
        <w:pBdr>
          <w:bottom w:val="single" w:color="3A6BC4" w:sz="8" w:space="4"/>
        </w:pBdr>
        <w:spacing w:before="360" w:after="120"/>
      </w:pPr>
      <w:r>
        <w:rPr>
          <w:rFonts w:ascii="Arial" w:cs="Arial" w:eastAsia="Arial" w:hAnsi="Arial"/>
          <w:b/>
          <w:bCs/>
          <w:color w:val="1B2A4A"/>
          <w:sz w:val="36"/>
          <w:szCs w:val="36"/>
        </w:rPr>
        <w:t xml:space="preserve">9. Module E3 — Live Elevator Pitch Practice</w:t>
      </w:r>
    </w:p>
    <w:p>
      <w:pPr>
        <w:spacing w:before="0" w:after="80"/>
        <w:jc w:val="left"/>
      </w:pPr>
      <w:r>
        <w:rPr>
          <w:rFonts w:ascii="Arial" w:cs="Arial" w:eastAsia="Arial" w:hAnsi="Arial"/>
          <w:color w:val="1A1A2E"/>
          <w:sz w:val="20"/>
          <w:szCs w:val="20"/>
        </w:rPr>
        <w:t xml:space="preserve">This module enables users to record a short pitch delivery — via video or audio — directly within the browser. The recording is then reviewed and AI-generated coaching feedback is provided on structure, delivery, and presentation. Maximum recording duration is 3 minutes.</w:t>
      </w:r>
    </w:p>
    <w:p>
      <w:pPr>
        <w:pBdr>
          <w:bottom w:val="single" w:color="E2E8F0" w:sz="2" w:space="1"/>
        </w:pBdr>
        <w:spacing w:before="160" w:after="160"/>
      </w:pPr>
      <w:r>
        <w:t xml:space="preserve"/>
      </w:r>
    </w:p>
    <w:p>
      <w:pPr>
        <w:pStyle w:val="Heading2"/>
        <w:shd w:fill="D6E4F7" w:val="clear"/>
        <w:spacing w:before="280" w:after="100"/>
        <w:ind w:left="0"/>
      </w:pPr>
      <w:r>
        <w:rPr>
          <w:rFonts w:ascii="Arial" w:cs="Arial" w:eastAsia="Arial" w:hAnsi="Arial"/>
          <w:b/>
          <w:bCs/>
          <w:color w:val="2E4A7A"/>
          <w:sz w:val="28"/>
          <w:szCs w:val="28"/>
        </w:rPr>
        <w:t xml:space="preserve">9.1 Recording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360"/>
      </w:tblGrid>
      <w:tr>
        <w:trPr>
          <w:tblHeader/>
        </w:trPr>
        <w:tc>
          <w:tcPr>
            <w:tcW w:type="dxa" w:w="16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 ID</w:t>
            </w:r>
          </w:p>
        </w:tc>
        <w:tc>
          <w:tcPr>
            <w:tcW w:type="dxa" w:w="37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w:t>
            </w:r>
          </w:p>
        </w:tc>
        <w:tc>
          <w:tcPr>
            <w:tcW w:type="dxa" w:w="43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Acceptance Criteria</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LEP-REC-01</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User can record video or audio via the browser.</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MediaRecorder API used for in-browser recording. User selects video or audio mode before recording. No third-party recording plugin required.</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LEP-REC-02</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Camera and microphone permissions are requested appropriately.</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Browser permission prompt triggered on recording start. Clear guidance displayed if permissions are denied. Alternative audio-only mode suggested if camera unavailable.</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LEP-REC-03</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Live camera preview is displayed during video recording.</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Preview renders in a video element in the UI. Preview muted to prevent feedback loop. Preview stops cleanly on recording end.</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LEP-REC-04</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Recording duration is limited to 3 minutes.</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Timer displays elapsed time and remaining time. Recording stops automatically at 3-minute limit. User notified 30 seconds before limit.</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LEP-REC-05</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User can stop recording early.</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Stop button available from recording start. Recording processed normally on early stop.</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LEP-REC-06</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Recording is available for immediate playback on completion.</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Completed recording rendered in a playback player immediately. User can review before proceeding to analysis. Re-record option available.</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LEP-REC-07</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Completed recording is uploaded to cloud storage.</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Recording uploaded on completion or on user submission for analysis. Upload progress indicated. Recording stored securely and access-controlled.</w:t>
            </w:r>
          </w:p>
        </w:tc>
      </w:tr>
    </w:tbl>
    <w:p>
      <w:pPr>
        <w:spacing w:before="80" w:after="80"/>
      </w:pPr>
    </w:p>
    <w:p>
      <w:pPr>
        <w:pStyle w:val="Heading2"/>
        <w:shd w:fill="D6E4F7" w:val="clear"/>
        <w:spacing w:before="280" w:after="100"/>
        <w:ind w:left="0"/>
      </w:pPr>
      <w:r>
        <w:rPr>
          <w:rFonts w:ascii="Arial" w:cs="Arial" w:eastAsia="Arial" w:hAnsi="Arial"/>
          <w:b/>
          <w:bCs/>
          <w:color w:val="2E4A7A"/>
          <w:sz w:val="28"/>
          <w:szCs w:val="28"/>
        </w:rPr>
        <w:t xml:space="preserve">9.2 Transcript Input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360"/>
      </w:tblGrid>
      <w:tr>
        <w:trPr>
          <w:tblHeader/>
        </w:trPr>
        <w:tc>
          <w:tcPr>
            <w:tcW w:type="dxa" w:w="16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 ID</w:t>
            </w:r>
          </w:p>
        </w:tc>
        <w:tc>
          <w:tcPr>
            <w:tcW w:type="dxa" w:w="37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w:t>
            </w:r>
          </w:p>
        </w:tc>
        <w:tc>
          <w:tcPr>
            <w:tcW w:type="dxa" w:w="43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Acceptance Criteria</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LEP-TRN-01</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User can optionally provide a transcript for deeper analysis.</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Text area provided for transcript input after recording. Transcript input is optional. Analysis proceeds with or without transcript. Deeper structural analysis available when transcript provided.</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LEP-TRN-02</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Transcript field clearly communicates its purpose and benefit.</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Help text explains that a transcript enables structural and content feedback in addition to delivery feedback. Character limit and word count displayed.</w:t>
            </w:r>
          </w:p>
        </w:tc>
      </w:tr>
    </w:tbl>
    <w:p>
      <w:pPr>
        <w:spacing w:before="80" w:after="80"/>
      </w:pPr>
    </w:p>
    <w:p>
      <w:pPr>
        <w:pStyle w:val="Heading2"/>
        <w:shd w:fill="D6E4F7" w:val="clear"/>
        <w:spacing w:before="280" w:after="100"/>
        <w:ind w:left="0"/>
      </w:pPr>
      <w:r>
        <w:rPr>
          <w:rFonts w:ascii="Arial" w:cs="Arial" w:eastAsia="Arial" w:hAnsi="Arial"/>
          <w:b/>
          <w:bCs/>
          <w:color w:val="2E4A7A"/>
          <w:sz w:val="28"/>
          <w:szCs w:val="28"/>
        </w:rPr>
        <w:t xml:space="preserve">9.3 Analysis &amp; Feedback</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360"/>
      </w:tblGrid>
      <w:tr>
        <w:trPr>
          <w:tblHeader/>
        </w:trPr>
        <w:tc>
          <w:tcPr>
            <w:tcW w:type="dxa" w:w="16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 ID</w:t>
            </w:r>
          </w:p>
        </w:tc>
        <w:tc>
          <w:tcPr>
            <w:tcW w:type="dxa" w:w="37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w:t>
            </w:r>
          </w:p>
        </w:tc>
        <w:tc>
          <w:tcPr>
            <w:tcW w:type="dxa" w:w="43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Acceptance Criteria</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LEP-ANL-01</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Recording and transcript are submitted to the AI for analysis.</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On user submission, transcript and recording metadata passed to AI API. Processing indicator displayed. Analysis completes within 45 seconds.</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LEP-ANL-02</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Feedback covers structure, delivery, and body language dimensions.</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Structure: framework element coverage scored. Delivery: clarity, pacing, confidence scored. Body language: eye contact, posture, gesture scored. Each dimension scored 0-100.</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LEP-ANL-03</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Feedback includes coaching drills.</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Minimum 3 specific coaching drills generated. Drills are actionable practice exercises targeted at the lowest-scoring dimensions.</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LEP-ANL-04</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Strengths are identified and surfaced alongside improvement areas.</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Minimum 2 specific strengths highlighted. Strengths specific to the submission, not generic.</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LEP-ANL-05</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User can save, download, and revisit sessions.</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Session saved with recording, transcript, feedback data, and scores. Recording playback available from session history. Equivalent to Module E1 session management.</w:t>
            </w:r>
          </w:p>
        </w:tc>
      </w:tr>
    </w:tbl>
    <w:p>
      <w:pPr>
        <w:spacing w:before="80" w:after="80"/>
      </w:pPr>
    </w:p>
    <w:p>
      <w:pPr>
        <w:spacing w:before="0" w:after="0"/>
      </w:pPr>
      <w:r>
        <w:br/>
      </w:r>
    </w:p>
    <w:p>
      <w:pPr>
        <w:pStyle w:val="Heading1"/>
        <w:pBdr>
          <w:bottom w:val="single" w:color="3A6BC4" w:sz="8" w:space="4"/>
        </w:pBdr>
        <w:spacing w:before="360" w:after="120"/>
      </w:pPr>
      <w:r>
        <w:rPr>
          <w:rFonts w:ascii="Arial" w:cs="Arial" w:eastAsia="Arial" w:hAnsi="Arial"/>
          <w:b/>
          <w:bCs/>
          <w:color w:val="1B2A4A"/>
          <w:sz w:val="36"/>
          <w:szCs w:val="36"/>
        </w:rPr>
        <w:t xml:space="preserve">10. Module E4 — Full Pitch Session</w:t>
      </w:r>
    </w:p>
    <w:p>
      <w:pPr>
        <w:spacing w:before="0" w:after="80"/>
        <w:jc w:val="left"/>
      </w:pPr>
      <w:r>
        <w:rPr>
          <w:rFonts w:ascii="Arial" w:cs="Arial" w:eastAsia="Arial" w:hAnsi="Arial"/>
          <w:color w:val="1A1A2E"/>
          <w:sz w:val="20"/>
          <w:szCs w:val="20"/>
        </w:rPr>
        <w:t xml:space="preserve">This module supports extended pitch presentations of 15 to 30 minutes. Users upload a pitch deck and record their full presentation. AI-generated feedback is provided across six dimensions covering content depth, narrative, delivery, deck alignment, investor readiness, and question preparation. This module requires transcript input for full feedback depth.</w:t>
      </w:r>
    </w:p>
    <w:p>
      <w:pPr>
        <w:pBdr>
          <w:bottom w:val="single" w:color="E2E8F0" w:sz="2" w:space="1"/>
        </w:pBdr>
        <w:spacing w:before="160" w:after="160"/>
      </w:pPr>
      <w:r>
        <w:t xml:space="preserve"/>
      </w:r>
    </w:p>
    <w:p>
      <w:pPr>
        <w:pStyle w:val="Heading2"/>
        <w:shd w:fill="D6E4F7" w:val="clear"/>
        <w:spacing w:before="280" w:after="100"/>
        <w:ind w:left="0"/>
      </w:pPr>
      <w:r>
        <w:rPr>
          <w:rFonts w:ascii="Arial" w:cs="Arial" w:eastAsia="Arial" w:hAnsi="Arial"/>
          <w:b/>
          <w:bCs/>
          <w:color w:val="2E4A7A"/>
          <w:sz w:val="28"/>
          <w:szCs w:val="28"/>
        </w:rPr>
        <w:t xml:space="preserve">10.1 Session Setup</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360"/>
      </w:tblGrid>
      <w:tr>
        <w:trPr>
          <w:tblHeader/>
        </w:trPr>
        <w:tc>
          <w:tcPr>
            <w:tcW w:type="dxa" w:w="16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 ID</w:t>
            </w:r>
          </w:p>
        </w:tc>
        <w:tc>
          <w:tcPr>
            <w:tcW w:type="dxa" w:w="37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w:t>
            </w:r>
          </w:p>
        </w:tc>
        <w:tc>
          <w:tcPr>
            <w:tcW w:type="dxa" w:w="43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Acceptance Criteria</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FPS-SET-01</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User is guided through a multi-step session setup flow.</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Step 1: deck upload. Step 2: recording. Step 3: transcript and analysis submission. Step indicator shows current step and completion status. User can navigate back to previous steps.</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FPS-SET-02</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Deck upload is optional in the session setup.</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User can proceed to recording without uploading a deck. Deck upload step clearly marked as optional. Feedback scope communicated when deck is absent.</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FPS-SET-03</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Previously uploaded deck can be reused.</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User can select a deck from a previous session rather than uploading again. Deck selector displays previously uploaded decks with filename and upload date.</w:t>
            </w:r>
          </w:p>
        </w:tc>
      </w:tr>
    </w:tbl>
    <w:p>
      <w:pPr>
        <w:spacing w:before="80" w:after="80"/>
      </w:pPr>
    </w:p>
    <w:p>
      <w:pPr>
        <w:pStyle w:val="Heading2"/>
        <w:shd w:fill="D6E4F7" w:val="clear"/>
        <w:spacing w:before="280" w:after="100"/>
        <w:ind w:left="0"/>
      </w:pPr>
      <w:r>
        <w:rPr>
          <w:rFonts w:ascii="Arial" w:cs="Arial" w:eastAsia="Arial" w:hAnsi="Arial"/>
          <w:b/>
          <w:bCs/>
          <w:color w:val="2E4A7A"/>
          <w:sz w:val="28"/>
          <w:szCs w:val="28"/>
        </w:rPr>
        <w:t xml:space="preserve">10.2 Recording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360"/>
      </w:tblGrid>
      <w:tr>
        <w:trPr>
          <w:tblHeader/>
        </w:trPr>
        <w:tc>
          <w:tcPr>
            <w:tcW w:type="dxa" w:w="16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 ID</w:t>
            </w:r>
          </w:p>
        </w:tc>
        <w:tc>
          <w:tcPr>
            <w:tcW w:type="dxa" w:w="37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w:t>
            </w:r>
          </w:p>
        </w:tc>
        <w:tc>
          <w:tcPr>
            <w:tcW w:type="dxa" w:w="43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Acceptance Criteria</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FPS-REC-01</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User can record video or audio for up to 30 minutes.</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MediaRecorder API used. Maximum duration 30 minutes enforced. Timer shows elapsed and remaining time. Warning displayed at 25 minutes. Recording stops automatically at limit.</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FPS-REC-02</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Recording upload handles large file sizes reliably.</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Recording uploaded using multipart or resumable upload protocol. Upload can recover from brief network interruption. Upload progress displayed. Minimum 500MB file size support.</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FPS-REC-03</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User can re-record before submitting for analysis.</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Re-record option available after playback. Previous recording deleted from storage on re-record. New recording replaces it.</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FPS-REC-04</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Uploaded deck visible to user during recording step.</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Deck filename and upload status displayed in recording step UI. User can open deck in new tab for reference during recording.</w:t>
            </w:r>
          </w:p>
        </w:tc>
      </w:tr>
    </w:tbl>
    <w:p>
      <w:pPr>
        <w:spacing w:before="80" w:after="80"/>
      </w:pPr>
    </w:p>
    <w:p>
      <w:pPr>
        <w:pStyle w:val="Heading2"/>
        <w:shd w:fill="D6E4F7" w:val="clear"/>
        <w:spacing w:before="280" w:after="100"/>
        <w:ind w:left="0"/>
      </w:pPr>
      <w:r>
        <w:rPr>
          <w:rFonts w:ascii="Arial" w:cs="Arial" w:eastAsia="Arial" w:hAnsi="Arial"/>
          <w:b/>
          <w:bCs/>
          <w:color w:val="2E4A7A"/>
          <w:sz w:val="28"/>
          <w:szCs w:val="28"/>
        </w:rPr>
        <w:t xml:space="preserve">10.3 Analysis &amp; Feedback</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360"/>
      </w:tblGrid>
      <w:tr>
        <w:trPr>
          <w:tblHeader/>
        </w:trPr>
        <w:tc>
          <w:tcPr>
            <w:tcW w:type="dxa" w:w="16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 ID</w:t>
            </w:r>
          </w:p>
        </w:tc>
        <w:tc>
          <w:tcPr>
            <w:tcW w:type="dxa" w:w="37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w:t>
            </w:r>
          </w:p>
        </w:tc>
        <w:tc>
          <w:tcPr>
            <w:tcW w:type="dxa" w:w="43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Acceptance Criteria</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FPS-ANL-01</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Deck, transcript, and recording metadata submitted together for analysis.</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On submission, deck content (if provided), full transcript, and session duration passed to AI API. All inputs combined into a single analysis request. Processing indicator displayed.</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FPS-ANL-02</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Analysis completes within an acceptable time limit for extended sessions.</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AI response received within 90 seconds. Timeout handled gracefully with user notification and retry option.</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FPS-ANL-03</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Feedback covers six defined dimensions.</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Dimensions: Deck Alignment, Narrative Arc, Content Depth, Delivery, Investor Readiness, Q&amp;A Preparation. Each dimension scored 0-100 with narrative feedback.</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FPS-ANL-04</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Content depth is broken down by section.</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Content depth dimension includes per-section sub-scores. Sections: problem, solution, market, business model, traction, team, financials, ask. Each sub-section scored independently.</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FPS-ANL-05</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Investor readiness dimension surfaces specific red flags and positive signals.</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Red flags listed specifically (minimum 2). Positive signals listed specifically (minimum 2). Both derived from the actual content submitted.</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FPS-ANL-06</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Q&amp;A preparation includes anticipated questions.</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Minimum 5 anticipated investor questions generated. Questions specific to the content submitted. Coaching note on how to approach the Q&amp;A included.</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FPS-ANL-07</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Narrative arc is assessed and rated.</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Narrative dimension includes a qualitative arc rating (e.g. Strong, Weak, Fragmented). Specific feedback on story structure, investor journey, and emotional resonance.</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FPS-ANL-08</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Feedback includes a ranked action list.</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Top 5 priority actions displayed. Actions ranked by impact. Specific and actionable.</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FPS-ANL-09</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User can save, download, and revisit full pitch sessions.</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Full session saved including deck file, recording, transcript, all feedback dimensions, and scores. Recording playback available from session history. PDF download of full report available.</w:t>
            </w:r>
          </w:p>
        </w:tc>
      </w:tr>
    </w:tbl>
    <w:p>
      <w:pPr>
        <w:spacing w:before="80" w:after="80"/>
      </w:pPr>
    </w:p>
    <w:p>
      <w:pPr>
        <w:spacing w:before="0" w:after="0"/>
      </w:pPr>
      <w:r>
        <w:br/>
      </w:r>
    </w:p>
    <w:p>
      <w:pPr>
        <w:pStyle w:val="Heading1"/>
        <w:pBdr>
          <w:bottom w:val="single" w:color="3A6BC4" w:sz="8" w:space="4"/>
        </w:pBdr>
        <w:spacing w:before="360" w:after="120"/>
      </w:pPr>
      <w:r>
        <w:rPr>
          <w:rFonts w:ascii="Arial" w:cs="Arial" w:eastAsia="Arial" w:hAnsi="Arial"/>
          <w:b/>
          <w:bCs/>
          <w:color w:val="1B2A4A"/>
          <w:sz w:val="36"/>
          <w:szCs w:val="36"/>
        </w:rPr>
        <w:t xml:space="preserve">11. Shared Requirements Across All Coaching Modules</w:t>
      </w:r>
    </w:p>
    <w:p>
      <w:pPr>
        <w:spacing w:before="0" w:after="80"/>
        <w:jc w:val="left"/>
      </w:pPr>
      <w:r>
        <w:rPr>
          <w:rFonts w:ascii="Arial" w:cs="Arial" w:eastAsia="Arial" w:hAnsi="Arial"/>
          <w:color w:val="1A1A2E"/>
          <w:sz w:val="20"/>
          <w:szCs w:val="20"/>
        </w:rPr>
        <w:t xml:space="preserve">The following requirements apply uniformly to all four coaching modules (E1–E4). Vendors must implement these consistently across all modules.</w:t>
      </w:r>
    </w:p>
    <w:p>
      <w:pPr>
        <w:pBdr>
          <w:bottom w:val="single" w:color="E2E8F0" w:sz="2" w:space="1"/>
        </w:pBdr>
        <w:spacing w:before="160" w:after="160"/>
      </w:pPr>
      <w:r>
        <w:t xml:space="preserve"/>
      </w:r>
    </w:p>
    <w:p>
      <w:pPr>
        <w:pStyle w:val="Heading2"/>
        <w:shd w:fill="D6E4F7" w:val="clear"/>
        <w:spacing w:before="280" w:after="100"/>
        <w:ind w:left="0"/>
      </w:pPr>
      <w:r>
        <w:rPr>
          <w:rFonts w:ascii="Arial" w:cs="Arial" w:eastAsia="Arial" w:hAnsi="Arial"/>
          <w:b/>
          <w:bCs/>
          <w:color w:val="2E4A7A"/>
          <w:sz w:val="28"/>
          <w:szCs w:val="28"/>
        </w:rPr>
        <w:t xml:space="preserve">11.1 Session Storage &amp; Organisation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360"/>
      </w:tblGrid>
      <w:tr>
        <w:trPr>
          <w:tblHeader/>
        </w:trPr>
        <w:tc>
          <w:tcPr>
            <w:tcW w:type="dxa" w:w="16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 ID</w:t>
            </w:r>
          </w:p>
        </w:tc>
        <w:tc>
          <w:tcPr>
            <w:tcW w:type="dxa" w:w="37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w:t>
            </w:r>
          </w:p>
        </w:tc>
        <w:tc>
          <w:tcPr>
            <w:tcW w:type="dxa" w:w="43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Acceptance Criteria</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SHR-STG-01</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User can create named folders to organise sessions.</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Folder creation from session history view. Folder name maximum 60 characters. Sessions can be moved between folders. Default unfiled view for sessions with no folder.</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SHR-STG-02</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User can search and filter session history.</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Filter by: module, date range, score range, folder. Search by session name or notes. Results updated without page reload.</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SHR-STG-03</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User can add notes to a saved session.</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Notes field available on session detail view. Plain text, maximum 1,000 characters. Notes saved without re-running analysis.</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SHR-STG-04</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Storage limits are enforced per subscription tier.</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Storage limit configurable per tier in admin panel. User warned at 80% and 100% capacity. New sessions blocked when limit reached with upgrade prompt.</w:t>
            </w:r>
          </w:p>
        </w:tc>
      </w:tr>
    </w:tbl>
    <w:p>
      <w:pPr>
        <w:spacing w:before="80" w:after="80"/>
      </w:pPr>
    </w:p>
    <w:p>
      <w:pPr>
        <w:pStyle w:val="Heading2"/>
        <w:shd w:fill="D6E4F7" w:val="clear"/>
        <w:spacing w:before="280" w:after="100"/>
        <w:ind w:left="0"/>
      </w:pPr>
      <w:r>
        <w:rPr>
          <w:rFonts w:ascii="Arial" w:cs="Arial" w:eastAsia="Arial" w:hAnsi="Arial"/>
          <w:b/>
          <w:bCs/>
          <w:color w:val="2E4A7A"/>
          <w:sz w:val="28"/>
          <w:szCs w:val="28"/>
        </w:rPr>
        <w:t xml:space="preserve">11.2 Session Sharing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360"/>
      </w:tblGrid>
      <w:tr>
        <w:trPr>
          <w:tblHeader/>
        </w:trPr>
        <w:tc>
          <w:tcPr>
            <w:tcW w:type="dxa" w:w="16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 ID</w:t>
            </w:r>
          </w:p>
        </w:tc>
        <w:tc>
          <w:tcPr>
            <w:tcW w:type="dxa" w:w="37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w:t>
            </w:r>
          </w:p>
        </w:tc>
        <w:tc>
          <w:tcPr>
            <w:tcW w:type="dxa" w:w="43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Acceptance Criteria</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SHR-SHA-01</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User can generate a shareable link for any saved session.</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Share button on session detail view generates a unique tokenised URL. Link can be set to public (anyone with link) or private (platform users only). Link can be revoked.</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SHR-SHA-02</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Shared session view accessible without login for public links.</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Public link renders a read-only view of the session feedback report and recording player. No platform navigation or other user data visible. Branding consistent with platform.</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SHR-SHA-03</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User can pin sessions to their public profile.</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Toggle to include a session on the public profile. Maximum pinned sessions configurable per tier. Pinned sessions displayed on public profile page.</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SHR-SHA-04</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Public profile page accessible via personalised URL.</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Profile URL format: [domain]/[username]. Page displays: user display name, bio, pinned sessions with titles and scores. Recording playback available on profile. No email or personal contact data exposed.</w:t>
            </w:r>
          </w:p>
        </w:tc>
      </w:tr>
    </w:tbl>
    <w:p>
      <w:pPr>
        <w:spacing w:before="80" w:after="80"/>
      </w:pPr>
    </w:p>
    <w:p>
      <w:pPr>
        <w:pStyle w:val="Heading2"/>
        <w:shd w:fill="D6E4F7" w:val="clear"/>
        <w:spacing w:before="280" w:after="100"/>
        <w:ind w:left="0"/>
      </w:pPr>
      <w:r>
        <w:rPr>
          <w:rFonts w:ascii="Arial" w:cs="Arial" w:eastAsia="Arial" w:hAnsi="Arial"/>
          <w:b/>
          <w:bCs/>
          <w:color w:val="2E4A7A"/>
          <w:sz w:val="28"/>
          <w:szCs w:val="28"/>
        </w:rPr>
        <w:t xml:space="preserve">11.3 Progress &amp; Analytics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360"/>
      </w:tblGrid>
      <w:tr>
        <w:trPr>
          <w:tblHeader/>
        </w:trPr>
        <w:tc>
          <w:tcPr>
            <w:tcW w:type="dxa" w:w="16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 ID</w:t>
            </w:r>
          </w:p>
        </w:tc>
        <w:tc>
          <w:tcPr>
            <w:tcW w:type="dxa" w:w="37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Requirement</w:t>
            </w:r>
          </w:p>
        </w:tc>
        <w:tc>
          <w:tcPr>
            <w:tcW w:type="dxa" w:w="43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FFFFFF"/>
                <w:sz w:val="18"/>
                <w:szCs w:val="18"/>
              </w:rPr>
              <w:t xml:space="preserve">Acceptance Criteria</w:t>
            </w:r>
          </w:p>
        </w:tc>
      </w:tr>
      <w:tr>
        <w:tc>
          <w:tcPr>
            <w:tcW w:type="dxa" w:w="1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SHR-ANL-01</w:t>
            </w:r>
          </w:p>
        </w:tc>
        <w:tc>
          <w:tcPr>
            <w:tcW w:type="dxa" w:w="37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User can view their score progression over time.</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Line chart showing overall score per session, filterable by module. Chart updates as new sessions are added.</w:t>
            </w:r>
          </w:p>
        </w:tc>
      </w:tr>
      <w:tr>
        <w:tc>
          <w:tcPr>
            <w:tcW w:type="dxa" w:w="1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SHR-ANL-02</w:t>
            </w:r>
          </w:p>
        </w:tc>
        <w:tc>
          <w:tcPr>
            <w:tcW w:type="dxa" w:w="37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1A2E"/>
                <w:sz w:val="18"/>
                <w:szCs w:val="18"/>
              </w:rPr>
              <w:t xml:space="preserve">User dashboard shows summary statistics.</w:t>
            </w:r>
          </w:p>
        </w:tc>
        <w:tc>
          <w:tcPr>
            <w:tcW w:type="dxa" w:w="4360"/>
            <w:tcBorders>
              <w:top w:val="single" w:color="C8D6E8" w:sz="1"/>
              <w:left w:val="single" w:color="C8D6E8" w:sz="1"/>
              <w:bottom w:val="single" w:color="C8D6E8" w:sz="1"/>
              <w:right w:val="single" w:color="C8D6E8" w:sz="1"/>
            </w:tcBorders>
            <w:shd w:fill="E6F4EC"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7A4A"/>
                <w:sz w:val="17"/>
                <w:szCs w:val="17"/>
              </w:rPr>
              <w:t xml:space="preserve">Dashboard includes: total sessions completed, average score by module, most recent session per module, streak or activity indicator.</w:t>
            </w:r>
          </w:p>
        </w:tc>
      </w:tr>
    </w:tbl>
    <w:p>
      <w:pPr>
        <w:spacing w:before="80" w:after="80"/>
      </w:pPr>
    </w:p>
    <w:p>
      <w:pPr>
        <w:spacing w:before="0" w:after="0"/>
      </w:pPr>
      <w:r>
        <w:br/>
      </w:r>
    </w:p>
    <w:p>
      <w:pPr>
        <w:pStyle w:val="Heading1"/>
        <w:pBdr>
          <w:bottom w:val="single" w:color="3A6BC4" w:sz="8" w:space="4"/>
        </w:pBdr>
        <w:spacing w:before="360" w:after="120"/>
      </w:pPr>
      <w:r>
        <w:rPr>
          <w:rFonts w:ascii="Arial" w:cs="Arial" w:eastAsia="Arial" w:hAnsi="Arial"/>
          <w:b/>
          <w:bCs/>
          <w:color w:val="1B2A4A"/>
          <w:sz w:val="36"/>
          <w:szCs w:val="36"/>
        </w:rPr>
        <w:t xml:space="preserve">12. Vendor Response Requirements</w:t>
      </w:r>
    </w:p>
    <w:p>
      <w:pPr>
        <w:spacing w:before="0" w:after="80"/>
        <w:jc w:val="left"/>
      </w:pPr>
      <w:r>
        <w:rPr>
          <w:rFonts w:ascii="Arial" w:cs="Arial" w:eastAsia="Arial" w:hAnsi="Arial"/>
          <w:color w:val="1A1A2E"/>
          <w:sz w:val="20"/>
          <w:szCs w:val="20"/>
        </w:rPr>
        <w:t xml:space="preserve">Vendors responding to this specification are required to provide the following as part of their submission.</w:t>
      </w:r>
    </w:p>
    <w:p>
      <w:pPr>
        <w:pStyle w:val="Heading2"/>
        <w:shd w:fill="D6E4F7" w:val="clear"/>
        <w:spacing w:before="280" w:after="100"/>
        <w:ind w:left="0"/>
      </w:pPr>
      <w:r>
        <w:rPr>
          <w:rFonts w:ascii="Arial" w:cs="Arial" w:eastAsia="Arial" w:hAnsi="Arial"/>
          <w:b/>
          <w:bCs/>
          <w:color w:val="2E4A7A"/>
          <w:sz w:val="28"/>
          <w:szCs w:val="28"/>
        </w:rPr>
        <w:t xml:space="preserve">12.1 Technical Response</w:t>
      </w:r>
    </w:p>
    <w:p>
      <w:pPr>
        <w:pStyle w:val="ListParagraph"/>
        <w:numPr>
          <w:ilvl w:val="0"/>
          <w:numId w:val="2"/>
        </w:numPr>
        <w:spacing w:before="0" w:after="60"/>
      </w:pPr>
      <w:r>
        <w:rPr>
          <w:rFonts w:ascii="Arial" w:cs="Arial" w:eastAsia="Arial" w:hAnsi="Arial"/>
          <w:color w:val="1A1A2E"/>
          <w:sz w:val="20"/>
          <w:szCs w:val="20"/>
        </w:rPr>
        <w:t xml:space="preserve">Confirmation of capability to deliver each module group, with any exceptions or substitutions clearly noted.</w:t>
      </w:r>
    </w:p>
    <w:p>
      <w:pPr>
        <w:pStyle w:val="ListParagraph"/>
        <w:numPr>
          <w:ilvl w:val="0"/>
          <w:numId w:val="2"/>
        </w:numPr>
        <w:spacing w:before="0" w:after="60"/>
      </w:pPr>
      <w:r>
        <w:rPr>
          <w:rFonts w:ascii="Arial" w:cs="Arial" w:eastAsia="Arial" w:hAnsi="Arial"/>
          <w:color w:val="1A1A2E"/>
          <w:sz w:val="20"/>
          <w:szCs w:val="20"/>
        </w:rPr>
        <w:t xml:space="preserve">Proposed technology stack with justification for any deviations from the constraints in Section 2.1.</w:t>
      </w:r>
    </w:p>
    <w:p>
      <w:pPr>
        <w:pStyle w:val="ListParagraph"/>
        <w:numPr>
          <w:ilvl w:val="0"/>
          <w:numId w:val="2"/>
        </w:numPr>
        <w:spacing w:before="0" w:after="60"/>
      </w:pPr>
      <w:r>
        <w:rPr>
          <w:rFonts w:ascii="Arial" w:cs="Arial" w:eastAsia="Arial" w:hAnsi="Arial"/>
          <w:color w:val="1A1A2E"/>
          <w:sz w:val="20"/>
          <w:szCs w:val="20"/>
        </w:rPr>
        <w:t xml:space="preserve">High-level architecture diagram.</w:t>
      </w:r>
    </w:p>
    <w:p>
      <w:pPr>
        <w:pStyle w:val="ListParagraph"/>
        <w:numPr>
          <w:ilvl w:val="0"/>
          <w:numId w:val="2"/>
        </w:numPr>
        <w:spacing w:before="0" w:after="60"/>
      </w:pPr>
      <w:r>
        <w:rPr>
          <w:rFonts w:ascii="Arial" w:cs="Arial" w:eastAsia="Arial" w:hAnsi="Arial"/>
          <w:color w:val="1A1A2E"/>
          <w:sz w:val="20"/>
          <w:szCs w:val="20"/>
        </w:rPr>
        <w:t xml:space="preserve">Approach to third-party integrations: Zoho suite, Stripe, AI API.</w:t>
      </w:r>
    </w:p>
    <w:p>
      <w:pPr>
        <w:pStyle w:val="ListParagraph"/>
        <w:numPr>
          <w:ilvl w:val="0"/>
          <w:numId w:val="2"/>
        </w:numPr>
        <w:spacing w:before="0" w:after="60"/>
      </w:pPr>
      <w:r>
        <w:rPr>
          <w:rFonts w:ascii="Arial" w:cs="Arial" w:eastAsia="Arial" w:hAnsi="Arial"/>
          <w:color w:val="1A1A2E"/>
          <w:sz w:val="20"/>
          <w:szCs w:val="20"/>
        </w:rPr>
        <w:t xml:space="preserve">Approach to video storage, delivery, and bandwidth management.</w:t>
      </w:r>
    </w:p>
    <w:p>
      <w:pPr>
        <w:pStyle w:val="ListParagraph"/>
        <w:numPr>
          <w:ilvl w:val="0"/>
          <w:numId w:val="2"/>
        </w:numPr>
        <w:spacing w:before="0" w:after="60"/>
      </w:pPr>
      <w:r>
        <w:rPr>
          <w:rFonts w:ascii="Arial" w:cs="Arial" w:eastAsia="Arial" w:hAnsi="Arial"/>
          <w:color w:val="1A1A2E"/>
          <w:sz w:val="20"/>
          <w:szCs w:val="20"/>
        </w:rPr>
        <w:t xml:space="preserve">Security and data privacy approach, specifically with reference to GDPR, POPIA, and NDPR.</w:t>
      </w:r>
    </w:p>
    <w:p>
      <w:pPr>
        <w:pStyle w:val="Heading2"/>
        <w:shd w:fill="D6E4F7" w:val="clear"/>
        <w:spacing w:before="280" w:after="100"/>
        <w:ind w:left="0"/>
      </w:pPr>
      <w:r>
        <w:rPr>
          <w:rFonts w:ascii="Arial" w:cs="Arial" w:eastAsia="Arial" w:hAnsi="Arial"/>
          <w:b/>
          <w:bCs/>
          <w:color w:val="2E4A7A"/>
          <w:sz w:val="28"/>
          <w:szCs w:val="28"/>
        </w:rPr>
        <w:t xml:space="preserve">12.2 Project &amp; Commercial Response</w:t>
      </w:r>
    </w:p>
    <w:p>
      <w:pPr>
        <w:pStyle w:val="ListParagraph"/>
        <w:numPr>
          <w:ilvl w:val="0"/>
          <w:numId w:val="2"/>
        </w:numPr>
        <w:spacing w:before="0" w:after="60"/>
      </w:pPr>
      <w:r>
        <w:rPr>
          <w:rFonts w:ascii="Arial" w:cs="Arial" w:eastAsia="Arial" w:hAnsi="Arial"/>
          <w:color w:val="1A1A2E"/>
          <w:sz w:val="20"/>
          <w:szCs w:val="20"/>
        </w:rPr>
        <w:t xml:space="preserve">Itemised cost estimate per module group.</w:t>
      </w:r>
    </w:p>
    <w:p>
      <w:pPr>
        <w:pStyle w:val="ListParagraph"/>
        <w:numPr>
          <w:ilvl w:val="0"/>
          <w:numId w:val="2"/>
        </w:numPr>
        <w:spacing w:before="0" w:after="60"/>
      </w:pPr>
      <w:r>
        <w:rPr>
          <w:rFonts w:ascii="Arial" w:cs="Arial" w:eastAsia="Arial" w:hAnsi="Arial"/>
          <w:color w:val="1A1A2E"/>
          <w:sz w:val="20"/>
          <w:szCs w:val="20"/>
        </w:rPr>
        <w:t xml:space="preserve">Proposed delivery timeline with milestones per module group.</w:t>
      </w:r>
    </w:p>
    <w:p>
      <w:pPr>
        <w:pStyle w:val="ListParagraph"/>
        <w:numPr>
          <w:ilvl w:val="0"/>
          <w:numId w:val="2"/>
        </w:numPr>
        <w:spacing w:before="0" w:after="60"/>
      </w:pPr>
      <w:r>
        <w:rPr>
          <w:rFonts w:ascii="Arial" w:cs="Arial" w:eastAsia="Arial" w:hAnsi="Arial"/>
          <w:color w:val="1A1A2E"/>
          <w:sz w:val="20"/>
          <w:szCs w:val="20"/>
        </w:rPr>
        <w:t xml:space="preserve">Team structure and key personnel CVs or profiles.</w:t>
      </w:r>
    </w:p>
    <w:p>
      <w:pPr>
        <w:pStyle w:val="ListParagraph"/>
        <w:numPr>
          <w:ilvl w:val="0"/>
          <w:numId w:val="2"/>
        </w:numPr>
        <w:spacing w:before="0" w:after="60"/>
      </w:pPr>
      <w:r>
        <w:rPr>
          <w:rFonts w:ascii="Arial" w:cs="Arial" w:eastAsia="Arial" w:hAnsi="Arial"/>
          <w:color w:val="1A1A2E"/>
          <w:sz w:val="20"/>
          <w:szCs w:val="20"/>
        </w:rPr>
        <w:t xml:space="preserve">Post-launch support and maintenance proposal (minimum 12 months).</w:t>
      </w:r>
    </w:p>
    <w:p>
      <w:pPr>
        <w:pStyle w:val="ListParagraph"/>
        <w:numPr>
          <w:ilvl w:val="0"/>
          <w:numId w:val="2"/>
        </w:numPr>
        <w:spacing w:before="0" w:after="60"/>
      </w:pPr>
      <w:r>
        <w:rPr>
          <w:rFonts w:ascii="Arial" w:cs="Arial" w:eastAsia="Arial" w:hAnsi="Arial"/>
          <w:color w:val="1A1A2E"/>
          <w:sz w:val="20"/>
          <w:szCs w:val="20"/>
        </w:rPr>
        <w:t xml:space="preserve">Three references from comparable projects delivered in the last 3 years.</w:t>
      </w:r>
    </w:p>
    <w:p>
      <w:pPr>
        <w:pStyle w:val="Heading2"/>
        <w:shd w:fill="D6E4F7" w:val="clear"/>
        <w:spacing w:before="280" w:after="100"/>
        <w:ind w:left="0"/>
      </w:pPr>
      <w:r>
        <w:rPr>
          <w:rFonts w:ascii="Arial" w:cs="Arial" w:eastAsia="Arial" w:hAnsi="Arial"/>
          <w:b/>
          <w:bCs/>
          <w:color w:val="2E4A7A"/>
          <w:sz w:val="28"/>
          <w:szCs w:val="28"/>
        </w:rPr>
        <w:t xml:space="preserve">12.3 Assumptions &amp; Exclusions</w:t>
      </w:r>
    </w:p>
    <w:p>
      <w:pPr>
        <w:pStyle w:val="ListParagraph"/>
        <w:numPr>
          <w:ilvl w:val="0"/>
          <w:numId w:val="2"/>
        </w:numPr>
        <w:spacing w:before="0" w:after="60"/>
      </w:pPr>
      <w:r>
        <w:rPr>
          <w:rFonts w:ascii="Arial" w:cs="Arial" w:eastAsia="Arial" w:hAnsi="Arial"/>
          <w:color w:val="1A1A2E"/>
          <w:sz w:val="20"/>
          <w:szCs w:val="20"/>
        </w:rPr>
        <w:t xml:space="preserve">Vendors must state all assumptions made in their response.</w:t>
      </w:r>
    </w:p>
    <w:p>
      <w:pPr>
        <w:pStyle w:val="ListParagraph"/>
        <w:numPr>
          <w:ilvl w:val="0"/>
          <w:numId w:val="2"/>
        </w:numPr>
        <w:spacing w:before="0" w:after="60"/>
      </w:pPr>
      <w:r>
        <w:rPr>
          <w:rFonts w:ascii="Arial" w:cs="Arial" w:eastAsia="Arial" w:hAnsi="Arial"/>
          <w:color w:val="1A1A2E"/>
          <w:sz w:val="20"/>
          <w:szCs w:val="20"/>
        </w:rPr>
        <w:t xml:space="preserve">Any requirements interpreted differently from this specification must be explicitly noted.</w:t>
      </w:r>
    </w:p>
    <w:p>
      <w:pPr>
        <w:pStyle w:val="ListParagraph"/>
        <w:numPr>
          <w:ilvl w:val="0"/>
          <w:numId w:val="2"/>
        </w:numPr>
        <w:spacing w:before="0" w:after="60"/>
      </w:pPr>
      <w:r>
        <w:rPr>
          <w:rFonts w:ascii="Arial" w:cs="Arial" w:eastAsia="Arial" w:hAnsi="Arial"/>
          <w:color w:val="1A1A2E"/>
          <w:sz w:val="20"/>
          <w:szCs w:val="20"/>
        </w:rPr>
        <w:t xml:space="preserve">Exclusions from scope must be itemised separately.</w:t>
      </w:r>
    </w:p>
    <w:p>
      <w:pPr>
        <w:pBdr>
          <w:bottom w:val="single" w:color="E2E8F0" w:sz="2" w:space="1"/>
        </w:pBdr>
        <w:spacing w:before="160" w:after="160"/>
      </w:pPr>
      <w:r>
        <w:t xml:space="preserve"/>
      </w:r>
    </w:p>
    <w:p>
      <w:pPr>
        <w:spacing w:before="0" w:after="80"/>
        <w:jc w:val="left"/>
      </w:pPr>
      <w:r>
        <w:rPr>
          <w:rFonts w:ascii="Arial" w:cs="Arial" w:eastAsia="Arial" w:hAnsi="Arial"/>
          <w:color w:val="1A1A2E"/>
          <w:sz w:val="20"/>
          <w:szCs w:val="20"/>
        </w:rPr>
        <w:t xml:space="preserve">Submissions should be directed to the contact provided in the covering letter accompanying this specification. The client reserves the right to seek clarification, to reject any response, and to award to any vendor at its sole discretion.</w:t>
      </w:r>
    </w:p>
    <w:p>
      <w:pPr>
        <w:spacing w:before="400" w:after="0"/>
        <w:jc w:val="center"/>
      </w:pPr>
      <w:r>
        <w:rPr>
          <w:rFonts w:ascii="Arial" w:cs="Arial" w:eastAsia="Arial" w:hAnsi="Arial"/>
          <w:b/>
          <w:bCs/>
          <w:color w:val="4A5568"/>
          <w:sz w:val="18"/>
          <w:szCs w:val="18"/>
        </w:rPr>
        <w:t xml:space="preserve">END OF DOCUMENT</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spacing w:before="120" w:after="0"/>
    </w:pPr>
    <w:r>
      <w:rPr>
        <w:rFonts w:ascii="Arial" w:cs="Arial" w:eastAsia="Arial" w:hAnsi="Arial"/>
        <w:i/>
        <w:iCs/>
        <w:color w:val="4A5568"/>
        <w:sz w:val="16"/>
        <w:szCs w:val="16"/>
      </w:rPr>
      <w:t xml:space="preserve">Confidential — Issued for Vendor Response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A6BC4" w:sz="4" w:space="4"/>
      </w:pBdr>
      <w:tabs>
        <w:tab w:val="right" w:pos="9720"/>
      </w:tabs>
      <w:spacing w:before="0" w:after="120"/>
    </w:pPr>
    <w:r>
      <w:rPr>
        <w:rFonts w:ascii="Arial" w:cs="Arial" w:eastAsia="Arial" w:hAnsi="Arial"/>
        <w:color w:val="4A5568"/>
        <w:sz w:val="16"/>
        <w:szCs w:val="16"/>
      </w:rPr>
      <w:t xml:space="preserve">AI-Powered Pitch Coaching Platform  —  Technical Specification</w:t>
    </w:r>
    <w:r>
      <w:rPr>
        <w:rFonts w:ascii="Arial" w:cs="Arial" w:eastAsia="Arial" w:hAnsi="Arial"/>
        <w:color w:val="4A5568"/>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4A7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A6B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2026-03-17T16:11:26.558Z</dcterms:created>
  <dcterms:modified xsi:type="dcterms:W3CDTF">2026-03-17T16:11:26.559Z</dcterms:modified>
</cp:coreProperties>
</file>

<file path=docProps/custom.xml><?xml version="1.0" encoding="utf-8"?>
<Properties xmlns="http://schemas.openxmlformats.org/officeDocument/2006/custom-properties" xmlns:vt="http://schemas.openxmlformats.org/officeDocument/2006/docPropsVTypes"/>
</file>