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0"/>
          <w:szCs w:val="20"/>
        </w:rPr>
        <w:t xml:space="preserve">STRATALINK LABS LTD</w:t>
      </w:r>
    </w:p>
    <w:p>
      <w:pPr>
        <w:spacing w:after="120"/>
        <w:jc w:val="center"/>
      </w:pPr>
      <w:r>
        <w:rPr>
          <w:rFonts w:ascii="Arial" w:cs="Arial" w:eastAsia="Arial" w:hAnsi="Arial"/>
          <w:b/>
          <w:bCs/>
          <w:sz w:val="44"/>
          <w:szCs w:val="44"/>
        </w:rPr>
        <w:t xml:space="preserve">TILT</w:t>
      </w:r>
    </w:p>
    <w:p>
      <w:pPr>
        <w:spacing w:after="120"/>
        <w:jc w:val="center"/>
      </w:pPr>
      <w:r>
        <w:rPr>
          <w:rFonts w:ascii="Arial" w:cs="Arial" w:eastAsia="Arial" w:hAnsi="Arial"/>
          <w:b/>
          <w:bCs/>
          <w:sz w:val="36"/>
          <w:szCs w:val="36"/>
        </w:rPr>
        <w:t xml:space="preserve">Quick Start Guide</w:t>
      </w:r>
    </w:p>
    <w:p>
      <w:pPr>
        <w:spacing w:after="400"/>
        <w:jc w:val="center"/>
      </w:pPr>
      <w:r>
        <w:rPr>
          <w:rFonts w:ascii="Arial" w:cs="Arial" w:eastAsia="Arial" w:hAnsi="Arial"/>
          <w:color w:val="666666"/>
          <w:sz w:val="22"/>
          <w:szCs w:val="22"/>
        </w:rPr>
        <w:t xml:space="preserve">Get operational in ten minutes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856404" w:sz="1"/>
              <w:left w:val="single" w:color="856404" w:sz="6"/>
              <w:bottom w:val="single" w:color="856404" w:sz="1"/>
              <w:right w:val="single" w:color="856404" w:sz="1"/>
            </w:tcBorders>
            <w:shd w:fill="FFF3CD" w:val="clear"/>
            <w:tcMar>
              <w:top w:type="dxa" w:w="120"/>
              <w:left w:type="dxa" w:w="200"/>
              <w:bottom w:type="dxa" w:w="120"/>
              <w:right w:type="dxa" w:w="200"/>
            </w:tcMar>
          </w:tcPr>
          <w:p>
            <w:r>
              <w:rPr>
                <w:rFonts w:ascii="Arial" w:cs="Arial" w:eastAsia="Arial" w:hAnsi="Arial"/>
                <w:i/>
                <w:iCs/>
                <w:sz w:val="22"/>
                <w:szCs w:val="22"/>
              </w:rPr>
              <w:t xml:space="preserve">TILT - The Institutional Liquidity Truth. This guide gets you from login to your first supervisory review in ten minutes.</w:t>
            </w:r>
          </w:p>
        </w:tc>
      </w:tr>
    </w:tbl>
    <w:p>
      <w:r>
        <w:br w:type="page"/>
      </w:r>
    </w:p>
    <w:p>
      <w:pPr>
        <w:pStyle w:val="Heading1"/>
        <w:spacing w:after="200" w:before="360"/>
      </w:pPr>
      <w:r>
        <w:rPr>
          <w:rFonts w:ascii="Arial" w:cs="Arial" w:eastAsia="Arial" w:hAnsi="Arial"/>
          <w:b/>
          <w:bCs/>
          <w:sz w:val="32"/>
          <w:szCs w:val="32"/>
        </w:rPr>
        <w:t xml:space="preserve">1. Sign In</w:t>
      </w:r>
    </w:p>
    <w:p>
      <w:pPr>
        <w:spacing w:after="160"/>
      </w:pPr>
      <w:r>
        <w:rPr>
          <w:rFonts w:ascii="Arial" w:cs="Arial" w:eastAsia="Arial" w:hAnsi="Arial"/>
          <w:sz w:val="22"/>
          <w:szCs w:val="22"/>
        </w:rPr>
        <w:t xml:space="preserve">Navigate to the TILT platform URL provided by Stratalink. Enter your credentials. You will land directly on the Liquidity page, which is the main terminal view.</w:t>
      </w:r>
    </w:p>
    <w:p>
      <w:pPr>
        <w:pStyle w:val="Heading1"/>
        <w:spacing w:after="200" w:before="360"/>
      </w:pPr>
      <w:r>
        <w:rPr>
          <w:rFonts w:ascii="Arial" w:cs="Arial" w:eastAsia="Arial" w:hAnsi="Arial"/>
          <w:b/>
          <w:bCs/>
          <w:sz w:val="32"/>
          <w:szCs w:val="32"/>
        </w:rPr>
        <w:t xml:space="preserve">2. Understand the Five Tabs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7706"/>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Tab</w:t>
            </w:r>
          </w:p>
        </w:tc>
        <w:tc>
          <w:tcPr>
            <w:tcW w:type="dxa" w:w="77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What It Shows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LIQUIDITY</w:t>
            </w:r>
          </w:p>
        </w:tc>
        <w:tc>
          <w:tcPr>
            <w:tcW w:type="dxa" w:w="7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 liquidity health across venues. L5F composite score, venue depth map, spread analysis, regime classification. This is your primary daily view.</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STRATA AI</w:t>
            </w:r>
          </w:p>
        </w:tc>
        <w:tc>
          <w:tcPr>
            <w:tcW w:type="dxa" w:w="7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Market intelligence and manipulation detection. Six detection categories monitored in real time. Intelligence signal feed showing anomalies as they are detected.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 / PoMI</w:t>
            </w:r>
          </w:p>
        </w:tc>
        <w:tc>
          <w:tcPr>
            <w:tcW w:type="dxa" w:w="7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Verification and stability protocols. PoLi (Proof of Liquidity) scores with venue attribution. PoMI (Proof of Market Integrity) coordination framework status.</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RCL</w:t>
            </w:r>
          </w:p>
        </w:tc>
        <w:tc>
          <w:tcPr>
            <w:tcW w:type="dxa" w:w="7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Regulatory Consumption Layer. Supervisory-specific view with Coverage, Truth, and Provenance panels. Tier 3 full venue attribution. Evidence levels and data lineage.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ALERTS</w:t>
            </w:r>
          </w:p>
        </w:tc>
        <w:tc>
          <w:tcPr>
            <w:tcW w:type="dxa" w:w="7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Alert configuration and history. View triggered alerts, configure thresholds, and review historical alert data.</w:t>
            </w:r>
          </w:p>
        </w:tc>
      </w:tr>
    </w:tbl>
    <w:p>
      <w:pPr>
        <w:spacing w:after="80"/>
      </w:pPr>
    </w:p>
    <w:p>
      <w:pPr>
        <w:pStyle w:val="Heading1"/>
        <w:spacing w:after="200" w:before="360"/>
      </w:pPr>
      <w:r>
        <w:rPr>
          <w:rFonts w:ascii="Arial" w:cs="Arial" w:eastAsia="Arial" w:hAnsi="Arial"/>
          <w:b/>
          <w:bCs/>
          <w:sz w:val="32"/>
          <w:szCs w:val="32"/>
        </w:rPr>
        <w:t xml:space="preserve">3. Select a Token</w:t>
      </w:r>
    </w:p>
    <w:p>
      <w:pPr>
        <w:spacing w:after="160"/>
      </w:pPr>
      <w:r>
        <w:rPr>
          <w:rFonts w:ascii="Arial" w:cs="Arial" w:eastAsia="Arial" w:hAnsi="Arial"/>
          <w:sz w:val="22"/>
          <w:szCs w:val="22"/>
        </w:rPr>
        <w:t xml:space="preserve">The ILU-20 token selector is in the header bar. Click it to see all 20 tokens in the Institutional Liquidity Universe, grouped by systemic category (Reserve, Stablecoin, Exchange, Infrastructure, Liquidity). Select any token. All pages update to reflect that token's data. Tokens marked 'LIVE' have active venue data. Tokens marked '--' are in the universe but awaiting venue feed activation.</w:t>
      </w:r>
    </w:p>
    <w:p>
      <w:pPr>
        <w:pStyle w:val="Heading1"/>
        <w:spacing w:after="200" w:before="360"/>
      </w:pPr>
      <w:r>
        <w:rPr>
          <w:rFonts w:ascii="Arial" w:cs="Arial" w:eastAsia="Arial" w:hAnsi="Arial"/>
          <w:b/>
          <w:bCs/>
          <w:sz w:val="32"/>
          <w:szCs w:val="32"/>
        </w:rPr>
        <w:t xml:space="preserve">4. Your Morning Review (Mode 1)</w:t>
      </w:r>
    </w:p>
    <w:p>
      <w:pPr>
        <w:spacing w:after="160"/>
      </w:pPr>
      <w:r>
        <w:rPr>
          <w:rFonts w:ascii="Arial" w:cs="Arial" w:eastAsia="Arial" w:hAnsi="Arial"/>
          <w:sz w:val="22"/>
          <w:szCs w:val="22"/>
        </w:rPr>
        <w:t xml:space="preserve">This is the daily workflow you will use most.</w:t>
      </w:r>
    </w:p>
    <w:p>
      <w:pPr>
        <w:pStyle w:val="ListParagraph"/>
        <w:numPr>
          <w:ilvl w:val="0"/>
          <w:numId w:val="2"/>
        </w:numPr>
        <w:spacing w:after="100"/>
      </w:pPr>
      <w:r>
        <w:rPr>
          <w:rFonts w:ascii="Arial" w:cs="Arial" w:eastAsia="Arial" w:hAnsi="Arial"/>
          <w:sz w:val="22"/>
          <w:szCs w:val="22"/>
        </w:rPr>
        <w:t xml:space="preserve">Open TILT. You land on the Liquidity page.</w:t>
      </w:r>
    </w:p>
    <w:p>
      <w:pPr>
        <w:pStyle w:val="ListParagraph"/>
        <w:numPr>
          <w:ilvl w:val="0"/>
          <w:numId w:val="2"/>
        </w:numPr>
        <w:spacing w:after="100"/>
      </w:pPr>
      <w:r>
        <w:rPr>
          <w:rFonts w:ascii="Arial" w:cs="Arial" w:eastAsia="Arial" w:hAnsi="Arial"/>
          <w:sz w:val="22"/>
          <w:szCs w:val="22"/>
        </w:rPr>
        <w:t xml:space="preserve">Check the L5F composite score in the top-left circle. Green (75+) means healthy. Amber (50-74) means monitor. Red (below 50) means investigate.</w:t>
      </w:r>
    </w:p>
    <w:p>
      <w:pPr>
        <w:pStyle w:val="ListParagraph"/>
        <w:numPr>
          <w:ilvl w:val="0"/>
          <w:numId w:val="2"/>
        </w:numPr>
        <w:spacing w:after="100"/>
      </w:pPr>
      <w:r>
        <w:rPr>
          <w:rFonts w:ascii="Arial" w:cs="Arial" w:eastAsia="Arial" w:hAnsi="Arial"/>
          <w:sz w:val="22"/>
          <w:szCs w:val="22"/>
        </w:rPr>
        <w:t xml:space="preserve">Scan the EWDS indicators (Fund Rate, Perp Basis, Insurance Fund, Cross-Margin Utilisation, Altcoin Liquidity, ADL Count). Green across the board means no stress.</w:t>
      </w:r>
    </w:p>
    <w:p>
      <w:pPr>
        <w:pStyle w:val="ListParagraph"/>
        <w:numPr>
          <w:ilvl w:val="0"/>
          <w:numId w:val="2"/>
        </w:numPr>
        <w:spacing w:after="100"/>
      </w:pPr>
      <w:r>
        <w:rPr>
          <w:rFonts w:ascii="Arial" w:cs="Arial" w:eastAsia="Arial" w:hAnsi="Arial"/>
          <w:sz w:val="22"/>
          <w:szCs w:val="22"/>
        </w:rPr>
        <w:t xml:space="preserve">Check the Cross-Venue Depth Map for venue-level detail. Look for any venue showing red status.</w:t>
      </w:r>
    </w:p>
    <w:p>
      <w:pPr>
        <w:pStyle w:val="ListParagraph"/>
        <w:numPr>
          <w:ilvl w:val="0"/>
          <w:numId w:val="2"/>
        </w:numPr>
        <w:spacing w:after="100"/>
      </w:pPr>
      <w:r>
        <w:rPr>
          <w:rFonts w:ascii="Arial" w:cs="Arial" w:eastAsia="Arial" w:hAnsi="Arial"/>
          <w:sz w:val="22"/>
          <w:szCs w:val="22"/>
        </w:rPr>
        <w:t xml:space="preserve">Click to the STRATA AI tab. Check the six detection categories. All NORMAL means no anomalies.</w:t>
      </w:r>
    </w:p>
    <w:p>
      <w:pPr>
        <w:pStyle w:val="ListParagraph"/>
        <w:numPr>
          <w:ilvl w:val="0"/>
          <w:numId w:val="2"/>
        </w:numPr>
        <w:spacing w:after="100"/>
      </w:pPr>
      <w:r>
        <w:rPr>
          <w:rFonts w:ascii="Arial" w:cs="Arial" w:eastAsia="Arial" w:hAnsi="Arial"/>
          <w:sz w:val="22"/>
          <w:szCs w:val="22"/>
        </w:rPr>
        <w:t xml:space="preserve">Click to ALERTS. Check for any new alerts since yesterday.</w:t>
      </w:r>
    </w:p>
    <w:p>
      <w:pPr>
        <w:pStyle w:val="ListParagraph"/>
        <w:numPr>
          <w:ilvl w:val="0"/>
          <w:numId w:val="2"/>
        </w:numPr>
        <w:spacing w:after="100"/>
      </w:pPr>
      <w:r>
        <w:rPr>
          <w:rFonts w:ascii="Arial" w:cs="Arial" w:eastAsia="Arial" w:hAnsi="Arial"/>
          <w:sz w:val="22"/>
          <w:szCs w:val="22"/>
        </w:rPr>
        <w:t xml:space="preserve">If everything is green, your morning check is complete. If anything is amber or red, drill into the detail.</w:t>
      </w:r>
    </w:p>
    <w:p>
      <w:pPr>
        <w:pStyle w:val="Heading1"/>
        <w:spacing w:after="200" w:before="360"/>
      </w:pPr>
      <w:r>
        <w:rPr>
          <w:rFonts w:ascii="Arial" w:cs="Arial" w:eastAsia="Arial" w:hAnsi="Arial"/>
          <w:b/>
          <w:bCs/>
          <w:sz w:val="32"/>
          <w:szCs w:val="32"/>
        </w:rPr>
        <w:t xml:space="preserve">5. When Something Is Flagged (Mode 2)</w:t>
      </w:r>
    </w:p>
    <w:p>
      <w:pPr>
        <w:spacing w:after="160"/>
      </w:pPr>
      <w:r>
        <w:rPr>
          <w:rFonts w:ascii="Arial" w:cs="Arial" w:eastAsia="Arial" w:hAnsi="Arial"/>
          <w:sz w:val="22"/>
          <w:szCs w:val="22"/>
        </w:rPr>
        <w:t xml:space="preserve">If a detection category shows ELEVATED or CRITICAL on the STRATA AI page, click into the intelligence feed for detail. Each signal includes the affected token, the anomaly type, and a description of what was detected. Cross-reference with the Liquidity page to see the venue-level data.</w:t>
      </w:r>
    </w:p>
    <w:p>
      <w:pPr>
        <w:pStyle w:val="Heading1"/>
        <w:spacing w:after="200" w:before="360"/>
      </w:pPr>
      <w:r>
        <w:rPr>
          <w:rFonts w:ascii="Arial" w:cs="Arial" w:eastAsia="Arial" w:hAnsi="Arial"/>
          <w:b/>
          <w:bCs/>
          <w:sz w:val="32"/>
          <w:szCs w:val="32"/>
        </w:rPr>
        <w:t xml:space="preserve">6. Investigating a Past Event (Mode 3)</w:t>
      </w:r>
    </w:p>
    <w:p>
      <w:pPr>
        <w:spacing w:after="160"/>
      </w:pPr>
      <w:r>
        <w:rPr>
          <w:rFonts w:ascii="Arial" w:cs="Arial" w:eastAsia="Arial" w:hAnsi="Arial"/>
          <w:sz w:val="22"/>
          <w:szCs w:val="22"/>
        </w:rPr>
        <w:t xml:space="preserve">For post-event investigation, use the RCL tab. Select the token and time period. The Coverage, Truth, and Provenance panels show the verified state of the market at that point. All data carries a full audit trail from source venue to displayed value.</w:t>
      </w:r>
    </w:p>
    <w:p>
      <w:pPr>
        <w:pStyle w:val="Heading1"/>
        <w:spacing w:after="200" w:before="360"/>
      </w:pPr>
      <w:r>
        <w:rPr>
          <w:rFonts w:ascii="Arial" w:cs="Arial" w:eastAsia="Arial" w:hAnsi="Arial"/>
          <w:b/>
          <w:bCs/>
          <w:sz w:val="32"/>
          <w:szCs w:val="32"/>
        </w:rPr>
        <w:t xml:space="preserve">7. Getting Help</w:t>
      </w:r>
    </w:p>
    <w:p>
      <w:pPr>
        <w:spacing w:after="160"/>
      </w:pPr>
      <w:r>
        <w:rPr>
          <w:rFonts w:ascii="Arial" w:cs="Arial" w:eastAsia="Arial" w:hAnsi="Arial"/>
          <w:sz w:val="22"/>
          <w:szCs w:val="22"/>
        </w:rPr>
        <w:t xml:space="preserve">Click the help icon in the header bar for contextual guidance on the current page. Refer to the full User Guide for comprehensive documentation. Contact Stratalink support using the details in the Pilot Operations Handbook.</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2026-06-28T12:05:09.786Z</dcterms:created>
  <dcterms:modified xsi:type="dcterms:W3CDTF">2026-06-28T12:05:09.804Z</dcterms:modified>
</cp:coreProperties>
</file>

<file path=docProps/custom.xml><?xml version="1.0" encoding="utf-8"?>
<Properties xmlns="http://schemas.openxmlformats.org/officeDocument/2006/custom-properties" xmlns:vt="http://schemas.openxmlformats.org/officeDocument/2006/docPropsVTypes"/>
</file>