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0"/>
      </w:pPr>
    </w:p>
    <w:p>
      <w:pPr>
        <w:spacing w:after="200"/>
        <w:jc w:val="center"/>
      </w:pPr>
      <w:r>
        <w:rPr>
          <w:rFonts w:ascii="Arial" w:cs="Arial" w:eastAsia="Arial" w:hAnsi="Arial"/>
          <w:color w:val="666666"/>
          <w:sz w:val="20"/>
          <w:szCs w:val="20"/>
        </w:rPr>
        <w:t xml:space="preserve">STRATALINK LABS LTD</w:t>
      </w:r>
    </w:p>
    <w:p>
      <w:pPr>
        <w:spacing w:after="120"/>
        <w:jc w:val="center"/>
      </w:pPr>
      <w:r>
        <w:rPr>
          <w:rFonts w:ascii="Arial" w:cs="Arial" w:eastAsia="Arial" w:hAnsi="Arial"/>
          <w:b/>
          <w:bCs/>
          <w:sz w:val="44"/>
          <w:szCs w:val="44"/>
        </w:rPr>
        <w:t xml:space="preserve">TILT</w:t>
      </w:r>
    </w:p>
    <w:p>
      <w:pPr>
        <w:spacing w:after="120"/>
        <w:jc w:val="center"/>
      </w:pPr>
      <w:r>
        <w:rPr>
          <w:rFonts w:ascii="Arial" w:cs="Arial" w:eastAsia="Arial" w:hAnsi="Arial"/>
          <w:b/>
          <w:bCs/>
          <w:sz w:val="36"/>
          <w:szCs w:val="36"/>
        </w:rPr>
        <w:t xml:space="preserve">User Guide</w:t>
      </w:r>
    </w:p>
    <w:p>
      <w:pPr>
        <w:spacing w:after="400"/>
        <w:jc w:val="center"/>
      </w:pPr>
      <w:r>
        <w:rPr>
          <w:rFonts w:ascii="Arial" w:cs="Arial" w:eastAsia="Arial" w:hAnsi="Arial"/>
          <w:color w:val="666666"/>
          <w:sz w:val="22"/>
          <w:szCs w:val="22"/>
        </w:rPr>
        <w:t xml:space="preserve">Comprehensive guide to The Institutional Liquidity Truth platform</w:t>
      </w:r>
    </w:p>
    <w:p>
      <w:pPr>
        <w:spacing w:after="80"/>
      </w:pP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c>
          <w:tcPr>
            <w:tcW w:type="dxa" w:w="9506"/>
            <w:tcBorders>
              <w:top w:val="single" w:color="856404" w:sz="1"/>
              <w:left w:val="single" w:color="856404" w:sz="6"/>
              <w:bottom w:val="single" w:color="856404" w:sz="1"/>
              <w:right w:val="single" w:color="856404" w:sz="1"/>
            </w:tcBorders>
            <w:shd w:fill="FFF3CD" w:val="clear"/>
            <w:tcMar>
              <w:top w:type="dxa" w:w="120"/>
              <w:left w:type="dxa" w:w="200"/>
              <w:bottom w:type="dxa" w:w="120"/>
              <w:right w:type="dxa" w:w="200"/>
            </w:tcMar>
          </w:tcPr>
          <w:p>
            <w:r>
              <w:rPr>
                <w:rFonts w:ascii="Arial" w:cs="Arial" w:eastAsia="Arial" w:hAnsi="Arial"/>
                <w:i/>
                <w:iCs/>
                <w:sz w:val="22"/>
                <w:szCs w:val="22"/>
              </w:rPr>
              <w:t xml:space="preserve">This document provides a complete walkthrough of every page, panel, and feature in the TILT platform. For a condensed onboarding experience, see the Quick Start Guide.</w:t>
            </w:r>
          </w:p>
        </w:tc>
      </w:tr>
    </w:tbl>
    <w:p>
      <w:r>
        <w:br w:type="page"/>
      </w:r>
    </w:p>
    <w:p>
      <w:pPr>
        <w:pStyle w:val="Heading1"/>
        <w:spacing w:after="200" w:before="360"/>
      </w:pPr>
      <w:r>
        <w:rPr>
          <w:rFonts w:ascii="Arial" w:cs="Arial" w:eastAsia="Arial" w:hAnsi="Arial"/>
          <w:b/>
          <w:bCs/>
          <w:sz w:val="32"/>
          <w:szCs w:val="32"/>
        </w:rPr>
        <w:t xml:space="preserve">1. Platform Overview</w:t>
      </w:r>
    </w:p>
    <w:p>
      <w:pPr>
        <w:spacing w:after="160"/>
      </w:pPr>
      <w:r>
        <w:rPr>
          <w:rFonts w:ascii="Arial" w:cs="Arial" w:eastAsia="Arial" w:hAnsi="Arial"/>
          <w:sz w:val="22"/>
          <w:szCs w:val="22"/>
        </w:rPr>
        <w:t xml:space="preserve">TILT (The Institutional Liquidity Truth) is Stratalink's institutional liquidity intelligence platform. It provides independent, real-time, cross-venue liquidity verification and market integrity intelligence for the Institutional Liquidity Universe (ILU-20): 20 digital assets selected by systemic importance.</w:t>
      </w:r>
    </w:p>
    <w:p>
      <w:pPr>
        <w:spacing w:after="160"/>
      </w:pPr>
      <w:r>
        <w:rPr>
          <w:rFonts w:ascii="Arial" w:cs="Arial" w:eastAsia="Arial" w:hAnsi="Arial"/>
          <w:sz w:val="22"/>
          <w:szCs w:val="22"/>
        </w:rPr>
        <w:t xml:space="preserve">The platform is organised across five pages, each accessible via the tab bar: Liquidity, STRATA AI, PoLi/PoMI, RCL, and Alerts. All pages share a unified token selector and are connected to the same live data infrastructure.</w:t>
      </w:r>
    </w:p>
    <w:p>
      <w:pPr>
        <w:pStyle w:val="Heading2"/>
        <w:spacing w:after="160" w:before="280"/>
      </w:pPr>
      <w:r>
        <w:rPr>
          <w:rFonts w:ascii="Arial" w:cs="Arial" w:eastAsia="Arial" w:hAnsi="Arial"/>
          <w:b/>
          <w:bCs/>
          <w:sz w:val="28"/>
          <w:szCs w:val="28"/>
        </w:rPr>
        <w:t xml:space="preserve">1.1 Header Bar</w:t>
      </w:r>
    </w:p>
    <w:p>
      <w:pPr>
        <w:spacing w:after="160"/>
      </w:pPr>
      <w:r>
        <w:rPr>
          <w:rFonts w:ascii="Arial" w:cs="Arial" w:eastAsia="Arial" w:hAnsi="Arial"/>
          <w:sz w:val="22"/>
          <w:szCs w:val="22"/>
        </w:rPr>
        <w:t xml:space="preserve">The header bar appears on every page. It contains the Stratalink logo and platform title, the ILU-20 token selector, the LIVE status indicator, notification bell, settings, and sign-out button. The ILU-20 token selector is the single mechanism for choosing which token's data is displayed across all pages.</w:t>
      </w:r>
    </w:p>
    <w:p>
      <w:pPr>
        <w:pStyle w:val="Heading2"/>
        <w:spacing w:after="160" w:before="280"/>
      </w:pPr>
      <w:r>
        <w:rPr>
          <w:rFonts w:ascii="Arial" w:cs="Arial" w:eastAsia="Arial" w:hAnsi="Arial"/>
          <w:b/>
          <w:bCs/>
          <w:sz w:val="28"/>
          <w:szCs w:val="28"/>
        </w:rPr>
        <w:t xml:space="preserve">1.2 ILU-20 Token Selector</w:t>
      </w:r>
    </w:p>
    <w:p>
      <w:pPr>
        <w:spacing w:after="160"/>
      </w:pPr>
      <w:r>
        <w:rPr>
          <w:rFonts w:ascii="Arial" w:cs="Arial" w:eastAsia="Arial" w:hAnsi="Arial"/>
          <w:sz w:val="22"/>
          <w:szCs w:val="22"/>
        </w:rPr>
        <w:t xml:space="preserve">The token selector dropdown shows all 20 ILU tokens grouped by five systemic categories: Reserve Assets, Stablecoin Infrastructure, Exchange and Trading Infrastructure, Financial Infrastructure, and High-Volume Liquidity Assets. Each token shows its LIVE status (actively receiving venue data) or '--' (in universe but awaiting feed activation). Selecting a token updates every page in the platform to show that token's data.</w:t>
      </w:r>
    </w:p>
    <w:p>
      <w:pPr>
        <w:pStyle w:val="Heading2"/>
        <w:spacing w:after="160" w:before="280"/>
      </w:pPr>
      <w:r>
        <w:rPr>
          <w:rFonts w:ascii="Arial" w:cs="Arial" w:eastAsia="Arial" w:hAnsi="Arial"/>
          <w:b/>
          <w:bCs/>
          <w:sz w:val="28"/>
          <w:szCs w:val="28"/>
        </w:rPr>
        <w:t xml:space="preserve">1.3 ILU-20 Ticker</w:t>
      </w:r>
    </w:p>
    <w:p>
      <w:pPr>
        <w:spacing w:after="160"/>
      </w:pPr>
      <w:r>
        <w:rPr>
          <w:rFonts w:ascii="Arial" w:cs="Arial" w:eastAsia="Arial" w:hAnsi="Arial"/>
          <w:sz w:val="22"/>
          <w:szCs w:val="22"/>
        </w:rPr>
        <w:t xml:space="preserve">The persistent ticker bar at the bottom of every page scrolls all 20 ILU assets with their current PoLi scores. The ticker provides constant market context regardless of which page you are viewing. Hover over the ticker to pause scrolling.</w:t>
      </w:r>
    </w:p>
    <w:p>
      <w:r>
        <w:br w:type="page"/>
      </w:r>
    </w:p>
    <w:p>
      <w:pPr>
        <w:pStyle w:val="Heading1"/>
        <w:spacing w:after="200" w:before="360"/>
      </w:pPr>
      <w:r>
        <w:rPr>
          <w:rFonts w:ascii="Arial" w:cs="Arial" w:eastAsia="Arial" w:hAnsi="Arial"/>
          <w:b/>
          <w:bCs/>
          <w:sz w:val="32"/>
          <w:szCs w:val="32"/>
        </w:rPr>
        <w:t xml:space="preserve">2. Liquidity Page</w:t>
      </w:r>
    </w:p>
    <w:p>
      <w:pPr>
        <w:spacing w:after="160"/>
      </w:pPr>
      <w:r>
        <w:rPr>
          <w:rFonts w:ascii="Arial" w:cs="Arial" w:eastAsia="Arial" w:hAnsi="Arial"/>
          <w:sz w:val="22"/>
          <w:szCs w:val="22"/>
        </w:rPr>
        <w:t xml:space="preserve">The Liquidity page is the primary operational view. It shows real-time liquidity health for the selected token across all monitored venues.</w:t>
      </w:r>
    </w:p>
    <w:p>
      <w:pPr>
        <w:pStyle w:val="Heading2"/>
        <w:spacing w:after="160" w:before="280"/>
      </w:pPr>
      <w:r>
        <w:rPr>
          <w:rFonts w:ascii="Arial" w:cs="Arial" w:eastAsia="Arial" w:hAnsi="Arial"/>
          <w:b/>
          <w:bCs/>
          <w:sz w:val="28"/>
          <w:szCs w:val="28"/>
        </w:rPr>
        <w:t xml:space="preserve">2.1 Metrics Strip</w:t>
      </w:r>
    </w:p>
    <w:p>
      <w:pPr>
        <w:spacing w:after="160"/>
      </w:pPr>
      <w:r>
        <w:rPr>
          <w:rFonts w:ascii="Arial" w:cs="Arial" w:eastAsia="Arial" w:hAnsi="Arial"/>
          <w:sz w:val="22"/>
          <w:szCs w:val="22"/>
        </w:rPr>
        <w:t xml:space="preserve">The horizontal strip below the token selector shows six summary metrics for the selected token: Total Depth (aggregate orderbook depth across all venues at a defined basis point threshold), Venues Live (number of venues actively returning data), Spread Dispersion (cross-venue spread variation in basis points), Volume Regime (NORMAL, ELEVATED, or STRESSED), Regulated (percentage of liquidity from regulated venues), and Offshore (percentage of liquidity from offshore venues).</w:t>
      </w:r>
    </w:p>
    <w:p>
      <w:pPr>
        <w:pStyle w:val="Heading2"/>
        <w:spacing w:after="160" w:before="280"/>
      </w:pPr>
      <w:r>
        <w:rPr>
          <w:rFonts w:ascii="Arial" w:cs="Arial" w:eastAsia="Arial" w:hAnsi="Arial"/>
          <w:b/>
          <w:bCs/>
          <w:sz w:val="28"/>
          <w:szCs w:val="28"/>
        </w:rPr>
        <w:t xml:space="preserve">2.2 Panel 1: Liquidity Health Core</w:t>
      </w:r>
    </w:p>
    <w:p>
      <w:pPr>
        <w:spacing w:after="160"/>
      </w:pPr>
      <w:r>
        <w:rPr>
          <w:rFonts w:ascii="Arial" w:cs="Arial" w:eastAsia="Arial" w:hAnsi="Arial"/>
          <w:sz w:val="22"/>
          <w:szCs w:val="22"/>
        </w:rPr>
        <w:t xml:space="preserve">The L5F (Liquidity 5-Factor Score) composite is displayed as a circular score ring (0-100) with a status label (ROBUST, STABLE, DETERIORATING, STRESSED, or CRITICAL). The five factors are displayed with individual scores and weighted progress bars: Depth Quality (x0.30 weight), Resilience (x0.20), Fragmentation (x0.15), Execution Integrity (x0.20), and Regime Stability (x0.15). The L5F composite formula is shown at the bottom of the panel.</w:t>
      </w:r>
    </w:p>
    <w:p>
      <w:pPr>
        <w:pStyle w:val="Heading2"/>
        <w:spacing w:after="160" w:before="280"/>
      </w:pPr>
      <w:r>
        <w:rPr>
          <w:rFonts w:ascii="Arial" w:cs="Arial" w:eastAsia="Arial" w:hAnsi="Arial"/>
          <w:b/>
          <w:bCs/>
          <w:sz w:val="28"/>
          <w:szCs w:val="28"/>
        </w:rPr>
        <w:t xml:space="preserve">2.3 Venue Liquidity Attribution</w:t>
      </w:r>
    </w:p>
    <w:p>
      <w:pPr>
        <w:spacing w:after="160"/>
      </w:pPr>
      <w:r>
        <w:rPr>
          <w:rFonts w:ascii="Arial" w:cs="Arial" w:eastAsia="Arial" w:hAnsi="Arial"/>
          <w:sz w:val="22"/>
          <w:szCs w:val="22"/>
        </w:rPr>
        <w:t xml:space="preserve">Below the L5F factors, the venue attribution strip shows each active venue's individual contribution: venue name, depth, percentage of global depth, per-venue PoLi score, spread, and RAG status. Venues are sorted by depth contribution (largest first). This immediately shows whether liquidity is genuine and diversified or thin and concentrated.</w:t>
      </w:r>
    </w:p>
    <w:p>
      <w:pPr>
        <w:pStyle w:val="Heading2"/>
        <w:spacing w:after="160" w:before="280"/>
      </w:pPr>
      <w:r>
        <w:rPr>
          <w:rFonts w:ascii="Arial" w:cs="Arial" w:eastAsia="Arial" w:hAnsi="Arial"/>
          <w:b/>
          <w:bCs/>
          <w:sz w:val="28"/>
          <w:szCs w:val="28"/>
        </w:rPr>
        <w:t xml:space="preserve">2.4 Panel 2: Cross-Venue Depth Map</w:t>
      </w:r>
    </w:p>
    <w:p>
      <w:pPr>
        <w:spacing w:after="160"/>
      </w:pPr>
      <w:r>
        <w:rPr>
          <w:rFonts w:ascii="Arial" w:cs="Arial" w:eastAsia="Arial" w:hAnsi="Arial"/>
          <w:sz w:val="22"/>
          <w:szCs w:val="22"/>
        </w:rPr>
        <w:t xml:space="preserve">A table showing all active venues with depth at the configured basis point threshold, percentage of global depth, regulated status, stability score, and a depth share bar. This panel provides the granular venue-level detail that supports supervisory analysis.</w:t>
      </w:r>
    </w:p>
    <w:p>
      <w:pPr>
        <w:pStyle w:val="Heading2"/>
        <w:spacing w:after="160" w:before="280"/>
      </w:pPr>
      <w:r>
        <w:rPr>
          <w:rFonts w:ascii="Arial" w:cs="Arial" w:eastAsia="Arial" w:hAnsi="Arial"/>
          <w:b/>
          <w:bCs/>
          <w:sz w:val="28"/>
          <w:szCs w:val="28"/>
        </w:rPr>
        <w:t xml:space="preserve">2.5 Panel 3: Stress and Regime</w:t>
      </w:r>
    </w:p>
    <w:p>
      <w:pPr>
        <w:spacing w:after="160"/>
      </w:pPr>
      <w:r>
        <w:rPr>
          <w:rFonts w:ascii="Arial" w:cs="Arial" w:eastAsia="Arial" w:hAnsi="Arial"/>
          <w:sz w:val="22"/>
          <w:szCs w:val="22"/>
        </w:rPr>
        <w:t xml:space="preserve">The right sidebar shows real-time stress indicators: Liquidity Withdrawal Velocity, Depth Decay Rate, Spread Elasticity, Funding Skew (Perps vs Spot), and Derivatives Dominance. The Regime Classification panel shows the current market regime (NORMAL - STABLE, ELEVATED, or STRESSED) with a coloured background.</w:t>
      </w:r>
    </w:p>
    <w:p>
      <w:pPr>
        <w:pStyle w:val="Heading2"/>
        <w:spacing w:after="160" w:before="280"/>
      </w:pPr>
      <w:r>
        <w:rPr>
          <w:rFonts w:ascii="Arial" w:cs="Arial" w:eastAsia="Arial" w:hAnsi="Arial"/>
          <w:b/>
          <w:bCs/>
          <w:sz w:val="28"/>
          <w:szCs w:val="28"/>
        </w:rPr>
        <w:t xml:space="preserve">2.6 Panel 4: Structural Integrity</w:t>
      </w:r>
    </w:p>
    <w:p>
      <w:pPr>
        <w:spacing w:after="160"/>
      </w:pPr>
      <w:r>
        <w:rPr>
          <w:rFonts w:ascii="Arial" w:cs="Arial" w:eastAsia="Arial" w:hAnsi="Arial"/>
          <w:sz w:val="22"/>
          <w:szCs w:val="22"/>
        </w:rPr>
        <w:t xml:space="preserve">Shows the Fragmentation Index (HHI-based, measuring liquidity concentration), Cross-Venue Spread Dispersion, Basis Dispersion (Spot vs Perp), and Price Leadership Index (which venue is leading price discovery).</w:t>
      </w:r>
    </w:p>
    <w:p>
      <w:r>
        <w:br w:type="page"/>
      </w:r>
    </w:p>
    <w:p>
      <w:pPr>
        <w:pStyle w:val="Heading1"/>
        <w:spacing w:after="200" w:before="360"/>
      </w:pPr>
      <w:r>
        <w:rPr>
          <w:rFonts w:ascii="Arial" w:cs="Arial" w:eastAsia="Arial" w:hAnsi="Arial"/>
          <w:b/>
          <w:bCs/>
          <w:sz w:val="32"/>
          <w:szCs w:val="32"/>
        </w:rPr>
        <w:t xml:space="preserve">3. STRATA AI Page</w:t>
      </w:r>
    </w:p>
    <w:p>
      <w:pPr>
        <w:spacing w:after="160"/>
      </w:pPr>
      <w:r>
        <w:rPr>
          <w:rFonts w:ascii="Arial" w:cs="Arial" w:eastAsia="Arial" w:hAnsi="Arial"/>
          <w:sz w:val="22"/>
          <w:szCs w:val="22"/>
        </w:rPr>
        <w:t xml:space="preserve">STRATA AI is Stratalink's proprietary market intelligence engine. This page surfaces the detection and analytical capabilities.</w:t>
      </w:r>
    </w:p>
    <w:p>
      <w:pPr>
        <w:pStyle w:val="Heading2"/>
        <w:spacing w:after="160" w:before="280"/>
      </w:pPr>
      <w:r>
        <w:rPr>
          <w:rFonts w:ascii="Arial" w:cs="Arial" w:eastAsia="Arial" w:hAnsi="Arial"/>
          <w:b/>
          <w:bCs/>
          <w:sz w:val="28"/>
          <w:szCs w:val="28"/>
        </w:rPr>
        <w:t xml:space="preserve">3.1 Detection Status Grid</w:t>
      </w:r>
    </w:p>
    <w:p>
      <w:pPr>
        <w:spacing w:after="160"/>
      </w:pPr>
      <w:r>
        <w:rPr>
          <w:rFonts w:ascii="Arial" w:cs="Arial" w:eastAsia="Arial" w:hAnsi="Arial"/>
          <w:sz w:val="22"/>
          <w:szCs w:val="22"/>
        </w:rPr>
        <w:t xml:space="preserve">Six detection categories displayed as a horizontal grid with RAG status indicators: Cross-Venue Divergence (abnormal spread or depth differences between venues), Depth Manipulation (unusual depth patterns suggesting artificial orderbook padding), Liquidity Concentration (single-venue dominance), Spread Anomaly (unusual spread widening), Regime Instability (market regime transitions), and Execution Integrity (execution quality deterioration).</w:t>
      </w:r>
    </w:p>
    <w:p>
      <w:pPr>
        <w:pStyle w:val="Heading2"/>
        <w:spacing w:after="160" w:before="280"/>
      </w:pPr>
      <w:r>
        <w:rPr>
          <w:rFonts w:ascii="Arial" w:cs="Arial" w:eastAsia="Arial" w:hAnsi="Arial"/>
          <w:b/>
          <w:bCs/>
          <w:sz w:val="28"/>
          <w:szCs w:val="28"/>
        </w:rPr>
        <w:t xml:space="preserve">3.2 Intelligence Feed</w:t>
      </w:r>
    </w:p>
    <w:p>
      <w:pPr>
        <w:spacing w:after="160"/>
      </w:pPr>
      <w:r>
        <w:rPr>
          <w:rFonts w:ascii="Arial" w:cs="Arial" w:eastAsia="Arial" w:hAnsi="Arial"/>
          <w:sz w:val="22"/>
          <w:szCs w:val="22"/>
        </w:rPr>
        <w:t xml:space="preserve">A real-time feed of analytical signals generated when detection categories change status. Each signal includes the timestamp, severity, category, affected token, and a detailed description of what was detected with supporting data values.</w:t>
      </w:r>
    </w:p>
    <w:p>
      <w:pPr>
        <w:pStyle w:val="Heading2"/>
        <w:spacing w:after="160" w:before="280"/>
      </w:pPr>
      <w:r>
        <w:rPr>
          <w:rFonts w:ascii="Arial" w:cs="Arial" w:eastAsia="Arial" w:hAnsi="Arial"/>
          <w:b/>
          <w:bCs/>
          <w:sz w:val="28"/>
          <w:szCs w:val="28"/>
        </w:rPr>
        <w:t xml:space="preserve">3.3 EWDS Early Warning Indicators</w:t>
      </w:r>
    </w:p>
    <w:p>
      <w:pPr>
        <w:spacing w:after="160"/>
      </w:pPr>
      <w:r>
        <w:rPr>
          <w:rFonts w:ascii="Arial" w:cs="Arial" w:eastAsia="Arial" w:hAnsi="Arial"/>
          <w:sz w:val="22"/>
          <w:szCs w:val="22"/>
        </w:rPr>
        <w:t xml:space="preserve">Six stress indicators: Fund Rate, Perp Basis, Insurance Fund, Cross-Margin Utilisation, Altcoin Liquidity, and ADL Count. Each shows a RAG-coloured value updated in real time.</w:t>
      </w:r>
    </w:p>
    <w:p>
      <w:pPr>
        <w:pStyle w:val="Heading2"/>
        <w:spacing w:after="160" w:before="280"/>
      </w:pPr>
      <w:r>
        <w:rPr>
          <w:rFonts w:ascii="Arial" w:cs="Arial" w:eastAsia="Arial" w:hAnsi="Arial"/>
          <w:b/>
          <w:bCs/>
          <w:sz w:val="28"/>
          <w:szCs w:val="28"/>
        </w:rPr>
        <w:t xml:space="preserve">3.4 Composite Market Integrity Score</w:t>
      </w:r>
    </w:p>
    <w:p>
      <w:pPr>
        <w:spacing w:after="160"/>
      </w:pPr>
      <w:r>
        <w:rPr>
          <w:rFonts w:ascii="Arial" w:cs="Arial" w:eastAsia="Arial" w:hAnsi="Arial"/>
          <w:sz w:val="22"/>
          <w:szCs w:val="22"/>
        </w:rPr>
        <w:t xml:space="preserve">An aggregate score computed from the six detection categories, displayed as a score ring with a letter rating and status label.</w:t>
      </w:r>
    </w:p>
    <w:p>
      <w:r>
        <w:br w:type="page"/>
      </w:r>
    </w:p>
    <w:p>
      <w:pPr>
        <w:pStyle w:val="Heading1"/>
        <w:spacing w:after="200" w:before="360"/>
      </w:pPr>
      <w:r>
        <w:rPr>
          <w:rFonts w:ascii="Arial" w:cs="Arial" w:eastAsia="Arial" w:hAnsi="Arial"/>
          <w:b/>
          <w:bCs/>
          <w:sz w:val="32"/>
          <w:szCs w:val="32"/>
        </w:rPr>
        <w:t xml:space="preserve">4. PoLi / PoMI Page</w:t>
      </w:r>
    </w:p>
    <w:p>
      <w:pPr>
        <w:spacing w:after="160"/>
      </w:pPr>
      <w:r>
        <w:rPr>
          <w:rFonts w:ascii="Arial" w:cs="Arial" w:eastAsia="Arial" w:hAnsi="Arial"/>
          <w:sz w:val="22"/>
          <w:szCs w:val="22"/>
        </w:rPr>
        <w:t xml:space="preserve">This page combines the two core verification layers of the Liquidity Truth Stack.</w:t>
      </w:r>
    </w:p>
    <w:p>
      <w:pPr>
        <w:pStyle w:val="Heading2"/>
        <w:spacing w:after="160" w:before="280"/>
      </w:pPr>
      <w:r>
        <w:rPr>
          <w:rFonts w:ascii="Arial" w:cs="Arial" w:eastAsia="Arial" w:hAnsi="Arial"/>
          <w:b/>
          <w:bCs/>
          <w:sz w:val="28"/>
          <w:szCs w:val="28"/>
        </w:rPr>
        <w:t xml:space="preserve">4.1 PoLi Card</w:t>
      </w:r>
    </w:p>
    <w:p>
      <w:pPr>
        <w:spacing w:after="160"/>
      </w:pPr>
      <w:r>
        <w:rPr>
          <w:rFonts w:ascii="Arial" w:cs="Arial" w:eastAsia="Arial" w:hAnsi="Arial"/>
          <w:sz w:val="22"/>
          <w:szCs w:val="22"/>
        </w:rPr>
        <w:t xml:space="preserve">Shows the live Proof of Liquidity score for the selected token: numeric score, letter rating (AAA through D), and market status. PoLi answers the question: is the reported liquidity for this token genuine, or is it manipulated, thin, or artificial?</w:t>
      </w:r>
    </w:p>
    <w:p>
      <w:pPr>
        <w:pStyle w:val="Heading2"/>
        <w:spacing w:after="160" w:before="280"/>
      </w:pPr>
      <w:r>
        <w:rPr>
          <w:rFonts w:ascii="Arial" w:cs="Arial" w:eastAsia="Arial" w:hAnsi="Arial"/>
          <w:b/>
          <w:bCs/>
          <w:sz w:val="28"/>
          <w:szCs w:val="28"/>
        </w:rPr>
        <w:t xml:space="preserve">4.2 PoMI Card</w:t>
      </w:r>
    </w:p>
    <w:p>
      <w:pPr>
        <w:spacing w:after="160"/>
      </w:pPr>
      <w:r>
        <w:rPr>
          <w:rFonts w:ascii="Arial" w:cs="Arial" w:eastAsia="Arial" w:hAnsi="Arial"/>
          <w:sz w:val="22"/>
          <w:szCs w:val="22"/>
        </w:rPr>
        <w:t xml:space="preserve">Shows the Proof of Market Integrity coordination framework status. PoMI's three pillars (Threshold Definition, Throttle Activation, Venue Synchronisation) are displayed with individual status indicators. PoMI is a patent-protected protocol in active development. The values shown are derived from live market data using the PoMI framework logic.</w:t>
      </w:r>
    </w:p>
    <w:p>
      <w:pPr>
        <w:pStyle w:val="Heading2"/>
        <w:spacing w:after="160" w:before="280"/>
      </w:pPr>
      <w:r>
        <w:rPr>
          <w:rFonts w:ascii="Arial" w:cs="Arial" w:eastAsia="Arial" w:hAnsi="Arial"/>
          <w:b/>
          <w:bCs/>
          <w:sz w:val="28"/>
          <w:szCs w:val="28"/>
        </w:rPr>
        <w:t xml:space="preserve">4.3 Execution Feasibility Index</w:t>
      </w:r>
    </w:p>
    <w:p>
      <w:pPr>
        <w:spacing w:after="160"/>
      </w:pPr>
      <w:r>
        <w:rPr>
          <w:rFonts w:ascii="Arial" w:cs="Arial" w:eastAsia="Arial" w:hAnsi="Arial"/>
          <w:sz w:val="22"/>
          <w:szCs w:val="22"/>
        </w:rPr>
        <w:t xml:space="preserve">A chart showing whether the market is executable for institutional-size orders, plotted over time. Values range from 0 (market failure) to 1 (nominal).</w:t>
      </w:r>
    </w:p>
    <w:p>
      <w:pPr>
        <w:pStyle w:val="Heading2"/>
        <w:spacing w:after="160" w:before="280"/>
      </w:pPr>
      <w:r>
        <w:rPr>
          <w:rFonts w:ascii="Arial" w:cs="Arial" w:eastAsia="Arial" w:hAnsi="Arial"/>
          <w:b/>
          <w:bCs/>
          <w:sz w:val="28"/>
          <w:szCs w:val="28"/>
        </w:rPr>
        <w:t xml:space="preserve">4.4 Venue Depth and Spread Monitor</w:t>
      </w:r>
    </w:p>
    <w:p>
      <w:pPr>
        <w:spacing w:after="160"/>
      </w:pPr>
      <w:r>
        <w:rPr>
          <w:rFonts w:ascii="Arial" w:cs="Arial" w:eastAsia="Arial" w:hAnsi="Arial"/>
          <w:sz w:val="22"/>
          <w:szCs w:val="22"/>
        </w:rPr>
        <w:t xml:space="preserve">Per-venue depth and spread data with RAG status, supporting the PoLi attribution analysis.</w:t>
      </w:r>
    </w:p>
    <w:p>
      <w:pPr>
        <w:pStyle w:val="Heading2"/>
        <w:spacing w:after="160" w:before="280"/>
      </w:pPr>
      <w:r>
        <w:rPr>
          <w:rFonts w:ascii="Arial" w:cs="Arial" w:eastAsia="Arial" w:hAnsi="Arial"/>
          <w:b/>
          <w:bCs/>
          <w:sz w:val="28"/>
          <w:szCs w:val="28"/>
        </w:rPr>
        <w:t xml:space="preserve">4.5 PoMI Coordination Framework</w:t>
      </w:r>
    </w:p>
    <w:p>
      <w:pPr>
        <w:spacing w:after="160"/>
      </w:pPr>
      <w:r>
        <w:rPr>
          <w:rFonts w:ascii="Arial" w:cs="Arial" w:eastAsia="Arial" w:hAnsi="Arial"/>
          <w:sz w:val="22"/>
          <w:szCs w:val="22"/>
        </w:rPr>
        <w:t xml:space="preserve">The three PoMI pillars shown with individual scores and status labels: Threshold Definition (based on EWDS stress levels), Throttle Activation (based on regime classification), and Venue Synchronisation (based on cross-venue divergence).</w:t>
      </w:r>
    </w:p>
    <w:p>
      <w:r>
        <w:br w:type="page"/>
      </w:r>
    </w:p>
    <w:p>
      <w:pPr>
        <w:pStyle w:val="Heading1"/>
        <w:spacing w:after="200" w:before="360"/>
      </w:pPr>
      <w:r>
        <w:rPr>
          <w:rFonts w:ascii="Arial" w:cs="Arial" w:eastAsia="Arial" w:hAnsi="Arial"/>
          <w:b/>
          <w:bCs/>
          <w:sz w:val="32"/>
          <w:szCs w:val="32"/>
        </w:rPr>
        <w:t xml:space="preserve">5. RCL Page</w:t>
      </w:r>
    </w:p>
    <w:p>
      <w:pPr>
        <w:spacing w:after="160"/>
      </w:pPr>
      <w:r>
        <w:rPr>
          <w:rFonts w:ascii="Arial" w:cs="Arial" w:eastAsia="Arial" w:hAnsi="Arial"/>
          <w:sz w:val="22"/>
          <w:szCs w:val="22"/>
        </w:rPr>
        <w:t xml:space="preserve">The Regulatory Consumption Layer is the supervisory-specific view designed for regulatory use.</w:t>
      </w:r>
    </w:p>
    <w:p>
      <w:pPr>
        <w:pStyle w:val="Heading2"/>
        <w:spacing w:after="160" w:before="280"/>
      </w:pPr>
      <w:r>
        <w:rPr>
          <w:rFonts w:ascii="Arial" w:cs="Arial" w:eastAsia="Arial" w:hAnsi="Arial"/>
          <w:b/>
          <w:bCs/>
          <w:sz w:val="28"/>
          <w:szCs w:val="28"/>
        </w:rPr>
        <w:t xml:space="preserve">5.1 Coverage Panel</w:t>
      </w:r>
    </w:p>
    <w:p>
      <w:pPr>
        <w:spacing w:after="160"/>
      </w:pPr>
      <w:r>
        <w:rPr>
          <w:rFonts w:ascii="Arial" w:cs="Arial" w:eastAsia="Arial" w:hAnsi="Arial"/>
          <w:sz w:val="22"/>
          <w:szCs w:val="22"/>
        </w:rPr>
        <w:t xml:space="preserve">Shows the selected instrument, venue count, liquidity types covered, coverage completeness, and last ingestion timestamp. This panel answers: how much of the market for this token are we actually seeing?</w:t>
      </w:r>
    </w:p>
    <w:p>
      <w:pPr>
        <w:pStyle w:val="Heading2"/>
        <w:spacing w:after="160" w:before="280"/>
      </w:pPr>
      <w:r>
        <w:rPr>
          <w:rFonts w:ascii="Arial" w:cs="Arial" w:eastAsia="Arial" w:hAnsi="Arial"/>
          <w:b/>
          <w:bCs/>
          <w:sz w:val="28"/>
          <w:szCs w:val="28"/>
        </w:rPr>
        <w:t xml:space="preserve">5.2 Truth Panel</w:t>
      </w:r>
    </w:p>
    <w:p>
      <w:pPr>
        <w:spacing w:after="160"/>
      </w:pPr>
      <w:r>
        <w:rPr>
          <w:rFonts w:ascii="Arial" w:cs="Arial" w:eastAsia="Arial" w:hAnsi="Arial"/>
          <w:sz w:val="22"/>
          <w:szCs w:val="22"/>
        </w:rPr>
        <w:t xml:space="preserve">Shows the PoLi verification status (VERIFIED or PENDING), evidence level (L1 through L5), integrity assessment, data gap count, ingestion latency, and normalisation status. This panel answers: can we trust the data we are seeing?</w:t>
      </w:r>
    </w:p>
    <w:p>
      <w:pPr>
        <w:pStyle w:val="Heading2"/>
        <w:spacing w:after="160" w:before="280"/>
      </w:pPr>
      <w:r>
        <w:rPr>
          <w:rFonts w:ascii="Arial" w:cs="Arial" w:eastAsia="Arial" w:hAnsi="Arial"/>
          <w:b/>
          <w:bCs/>
          <w:sz w:val="28"/>
          <w:szCs w:val="28"/>
        </w:rPr>
        <w:t xml:space="preserve">5.3 Provenance Panel</w:t>
      </w:r>
    </w:p>
    <w:p>
      <w:pPr>
        <w:spacing w:after="160"/>
      </w:pPr>
      <w:r>
        <w:rPr>
          <w:rFonts w:ascii="Arial" w:cs="Arial" w:eastAsia="Arial" w:hAnsi="Arial"/>
          <w:sz w:val="22"/>
          <w:szCs w:val="22"/>
        </w:rPr>
        <w:t xml:space="preserve">Shows each venue's connection details: venue name, connection method, active data modules, normalisation status, last event timestamp, and LIS reference ID. Reference IDs and authoritative records provide the full audit trail from source to display.</w:t>
      </w:r>
    </w:p>
    <w:p>
      <w:pPr>
        <w:pStyle w:val="Heading2"/>
        <w:spacing w:after="160" w:before="280"/>
      </w:pPr>
      <w:r>
        <w:rPr>
          <w:rFonts w:ascii="Arial" w:cs="Arial" w:eastAsia="Arial" w:hAnsi="Arial"/>
          <w:b/>
          <w:bCs/>
          <w:sz w:val="28"/>
          <w:szCs w:val="28"/>
        </w:rPr>
        <w:t xml:space="preserve">5.4 Export</w:t>
      </w:r>
    </w:p>
    <w:p>
      <w:pPr>
        <w:spacing w:after="160"/>
      </w:pPr>
      <w:r>
        <w:rPr>
          <w:rFonts w:ascii="Arial" w:cs="Arial" w:eastAsia="Arial" w:hAnsi="Arial"/>
          <w:sz w:val="22"/>
          <w:szCs w:val="22"/>
        </w:rPr>
        <w:t xml:space="preserve">The RCL view supports JSON and PDF export of the current snapshot, including all coverage, truth, and provenance data with timestamps and reference identifiers.</w:t>
      </w:r>
    </w:p>
    <w:p>
      <w:r>
        <w:br w:type="page"/>
      </w:r>
    </w:p>
    <w:p>
      <w:pPr>
        <w:pStyle w:val="Heading1"/>
        <w:spacing w:after="200" w:before="360"/>
      </w:pPr>
      <w:r>
        <w:rPr>
          <w:rFonts w:ascii="Arial" w:cs="Arial" w:eastAsia="Arial" w:hAnsi="Arial"/>
          <w:b/>
          <w:bCs/>
          <w:sz w:val="32"/>
          <w:szCs w:val="32"/>
        </w:rPr>
        <w:t xml:space="preserve">6. Alerts Page</w:t>
      </w:r>
    </w:p>
    <w:p>
      <w:pPr>
        <w:spacing w:after="160"/>
      </w:pPr>
      <w:r>
        <w:rPr>
          <w:rFonts w:ascii="Arial" w:cs="Arial" w:eastAsia="Arial" w:hAnsi="Arial"/>
          <w:sz w:val="22"/>
          <w:szCs w:val="22"/>
        </w:rPr>
        <w:t xml:space="preserve">The Alerts page shows triggered alerts and allows configuration of alert thresholds.</w:t>
      </w:r>
    </w:p>
    <w:p>
      <w:pPr>
        <w:pStyle w:val="Heading2"/>
        <w:spacing w:after="160" w:before="280"/>
      </w:pPr>
      <w:r>
        <w:rPr>
          <w:rFonts w:ascii="Arial" w:cs="Arial" w:eastAsia="Arial" w:hAnsi="Arial"/>
          <w:b/>
          <w:bCs/>
          <w:sz w:val="28"/>
          <w:szCs w:val="28"/>
        </w:rPr>
        <w:t xml:space="preserve">6.1 Alert Types</w:t>
      </w:r>
    </w:p>
    <w:p>
      <w:pPr>
        <w:spacing w:after="160"/>
      </w:pPr>
      <w:r>
        <w:rPr>
          <w:rFonts w:ascii="Arial" w:cs="Arial" w:eastAsia="Arial" w:hAnsi="Arial"/>
          <w:sz w:val="22"/>
          <w:szCs w:val="22"/>
        </w:rPr>
        <w:t xml:space="preserve">Four trigger types: DIVERGENCE (cross-venue spread or depth divergence), REGIME_CHANGE (market regime transition), POLI_DROP (PoLi score decline below threshold), and DEPTH_DROP (venue depth decline below threshold). Each alert records the timestamp, affected token, severity, and a description of the triggering condition.</w:t>
      </w:r>
    </w:p>
    <w:p>
      <w:pPr>
        <w:pStyle w:val="Heading2"/>
        <w:spacing w:after="160" w:before="280"/>
      </w:pPr>
      <w:r>
        <w:rPr>
          <w:rFonts w:ascii="Arial" w:cs="Arial" w:eastAsia="Arial" w:hAnsi="Arial"/>
          <w:b/>
          <w:bCs/>
          <w:sz w:val="28"/>
          <w:szCs w:val="28"/>
        </w:rPr>
        <w:t xml:space="preserve">6.2 Alert Configuration</w:t>
      </w:r>
    </w:p>
    <w:p>
      <w:pPr>
        <w:spacing w:after="160"/>
      </w:pPr>
      <w:r>
        <w:rPr>
          <w:rFonts w:ascii="Arial" w:cs="Arial" w:eastAsia="Arial" w:hAnsi="Arial"/>
          <w:sz w:val="22"/>
          <w:szCs w:val="22"/>
        </w:rPr>
        <w:t xml:space="preserve">Threshold levels can be configured per supervised token. Alert delivery is via the dashboard and, when configured, via email.</w:t>
      </w:r>
    </w:p>
    <w:p>
      <w:r>
        <w:br w:type="page"/>
      </w:r>
    </w:p>
    <w:p>
      <w:pPr>
        <w:pStyle w:val="Heading1"/>
        <w:spacing w:after="200" w:before="360"/>
      </w:pPr>
      <w:r>
        <w:rPr>
          <w:rFonts w:ascii="Arial" w:cs="Arial" w:eastAsia="Arial" w:hAnsi="Arial"/>
          <w:b/>
          <w:bCs/>
          <w:sz w:val="32"/>
          <w:szCs w:val="32"/>
        </w:rPr>
        <w:t xml:space="preserve">7. PoLi Rating Bands</w:t>
      </w:r>
    </w:p>
    <w:p>
      <w:pPr>
        <w:spacing w:after="160"/>
      </w:pPr>
      <w:r>
        <w:rPr>
          <w:rFonts w:ascii="Arial" w:cs="Arial" w:eastAsia="Arial" w:hAnsi="Arial"/>
          <w:sz w:val="22"/>
          <w:szCs w:val="22"/>
        </w:rPr>
        <w:t xml:space="preserve">PoLi scores are mapped to letter ratings using the following bands: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6506"/>
      </w:tblGrid>
      <w:tr>
        <w:tc>
          <w:tcPr>
            <w:tcW w:type="dxa" w:w="1500"/>
            <w:tcBorders>
              <w:top w:val="single" w:color="CCCCCC" w:sz="1"/>
              <w:left w:val="single" w:color="CCCCCC" w:sz="1"/>
              <w:bottom w:val="single" w:color="CCCCCC" w:sz="1"/>
              <w:right w:val="single" w:color="CCCCCC" w:sz="1"/>
            </w:tcBorders>
            <w:shd w:fill="1B3A4B" w:val="clear"/>
            <w:tcMar>
              <w:top w:type="dxa" w:w="80"/>
              <w:left w:type="dxa" w:w="120"/>
              <w:bottom w:type="dxa" w:w="80"/>
              <w:right w:type="dxa" w:w="120"/>
            </w:tcMar>
          </w:tcPr>
          <w:p>
            <w:r>
              <w:rPr>
                <w:rFonts w:ascii="Arial" w:cs="Arial" w:eastAsia="Arial" w:hAnsi="Arial"/>
                <w:b/>
                <w:bCs/>
                <w:color w:val="FFFFFF"/>
                <w:sz w:val="22"/>
                <w:szCs w:val="22"/>
              </w:rPr>
              <w:t xml:space="preserve">Score</w:t>
            </w:r>
          </w:p>
        </w:tc>
        <w:tc>
          <w:tcPr>
            <w:tcW w:type="dxa" w:w="1500"/>
            <w:tcBorders>
              <w:top w:val="single" w:color="CCCCCC" w:sz="1"/>
              <w:left w:val="single" w:color="CCCCCC" w:sz="1"/>
              <w:bottom w:val="single" w:color="CCCCCC" w:sz="1"/>
              <w:right w:val="single" w:color="CCCCCC" w:sz="1"/>
            </w:tcBorders>
            <w:shd w:fill="1B3A4B" w:val="clear"/>
            <w:tcMar>
              <w:top w:type="dxa" w:w="80"/>
              <w:left w:type="dxa" w:w="120"/>
              <w:bottom w:type="dxa" w:w="80"/>
              <w:right w:type="dxa" w:w="120"/>
            </w:tcMar>
          </w:tcPr>
          <w:p>
            <w:r>
              <w:rPr>
                <w:rFonts w:ascii="Arial" w:cs="Arial" w:eastAsia="Arial" w:hAnsi="Arial"/>
                <w:b/>
                <w:bCs/>
                <w:color w:val="FFFFFF"/>
                <w:sz w:val="22"/>
                <w:szCs w:val="22"/>
              </w:rPr>
              <w:t xml:space="preserve">Rating</w:t>
            </w:r>
          </w:p>
        </w:tc>
        <w:tc>
          <w:tcPr>
            <w:tcW w:type="dxa" w:w="6506"/>
            <w:tcBorders>
              <w:top w:val="single" w:color="CCCCCC" w:sz="1"/>
              <w:left w:val="single" w:color="CCCCCC" w:sz="1"/>
              <w:bottom w:val="single" w:color="CCCCCC" w:sz="1"/>
              <w:right w:val="single" w:color="CCCCCC" w:sz="1"/>
            </w:tcBorders>
            <w:shd w:fill="1B3A4B" w:val="clear"/>
            <w:tcMar>
              <w:top w:type="dxa" w:w="80"/>
              <w:left w:type="dxa" w:w="120"/>
              <w:bottom w:type="dxa" w:w="80"/>
              <w:right w:type="dxa" w:w="120"/>
            </w:tcMar>
          </w:tcPr>
          <w:p>
            <w:r>
              <w:rPr>
                <w:rFonts w:ascii="Arial" w:cs="Arial" w:eastAsia="Arial" w:hAnsi="Arial"/>
                <w:b/>
                <w:bCs/>
                <w:color w:val="FFFFFF"/>
                <w:sz w:val="22"/>
                <w:szCs w:val="22"/>
              </w:rPr>
              <w:t xml:space="preserve">Interpretation</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90 - 100</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AAA</w:t>
            </w:r>
          </w:p>
        </w:tc>
        <w:tc>
          <w:tcPr>
            <w:tcW w:type="dxa" w:w="650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Exceptional liquidity. Deep, balanced, institutional-grade.</w:t>
            </w:r>
          </w:p>
        </w:tc>
      </w:tr>
      <w:tr>
        <w:tc>
          <w:tcPr>
            <w:tcW w:type="dxa" w:w="150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rFonts w:ascii="Arial" w:cs="Arial" w:eastAsia="Arial" w:hAnsi="Arial"/>
                <w:sz w:val="22"/>
                <w:szCs w:val="22"/>
              </w:rPr>
              <w:t xml:space="preserve">80 - 89</w:t>
            </w:r>
          </w:p>
        </w:tc>
        <w:tc>
          <w:tcPr>
            <w:tcW w:type="dxa" w:w="150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rFonts w:ascii="Arial" w:cs="Arial" w:eastAsia="Arial" w:hAnsi="Arial"/>
                <w:sz w:val="22"/>
                <w:szCs w:val="22"/>
              </w:rPr>
              <w:t xml:space="preserve">AA</w:t>
            </w:r>
          </w:p>
        </w:tc>
        <w:tc>
          <w:tcPr>
            <w:tcW w:type="dxa" w:w="6506"/>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rFonts w:ascii="Arial" w:cs="Arial" w:eastAsia="Arial" w:hAnsi="Arial"/>
                <w:sz w:val="22"/>
                <w:szCs w:val="22"/>
              </w:rPr>
              <w:t xml:space="preserve">Strong liquidity. Reliable execution at size.</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70 - 79</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w:t>
            </w:r>
          </w:p>
        </w:tc>
        <w:tc>
          <w:tcPr>
            <w:tcW w:type="dxa" w:w="650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Good liquidity. Adequate for most institutional needs.</w:t>
            </w:r>
          </w:p>
        </w:tc>
      </w:tr>
      <w:tr>
        <w:tc>
          <w:tcPr>
            <w:tcW w:type="dxa" w:w="150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rFonts w:ascii="Arial" w:cs="Arial" w:eastAsia="Arial" w:hAnsi="Arial"/>
                <w:sz w:val="22"/>
                <w:szCs w:val="22"/>
              </w:rPr>
              <w:t xml:space="preserve">60 - 69</w:t>
            </w:r>
          </w:p>
        </w:tc>
        <w:tc>
          <w:tcPr>
            <w:tcW w:type="dxa" w:w="150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rFonts w:ascii="Arial" w:cs="Arial" w:eastAsia="Arial" w:hAnsi="Arial"/>
                <w:sz w:val="22"/>
                <w:szCs w:val="22"/>
              </w:rPr>
              <w:t xml:space="preserve">BBB</w:t>
            </w:r>
          </w:p>
        </w:tc>
        <w:tc>
          <w:tcPr>
            <w:tcW w:type="dxa" w:w="6506"/>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rFonts w:ascii="Arial" w:cs="Arial" w:eastAsia="Arial" w:hAnsi="Arial"/>
                <w:sz w:val="22"/>
                <w:szCs w:val="22"/>
              </w:rPr>
              <w:t xml:space="preserve">Fair liquidity. Serviceable with some execution risk.</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50 - 59</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BB</w:t>
            </w:r>
          </w:p>
        </w:tc>
        <w:tc>
          <w:tcPr>
            <w:tcW w:type="dxa" w:w="650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Marginal liquidity. Elevated execution risk.</w:t>
            </w:r>
          </w:p>
        </w:tc>
      </w:tr>
      <w:tr>
        <w:tc>
          <w:tcPr>
            <w:tcW w:type="dxa" w:w="150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rFonts w:ascii="Arial" w:cs="Arial" w:eastAsia="Arial" w:hAnsi="Arial"/>
                <w:sz w:val="22"/>
                <w:szCs w:val="22"/>
              </w:rPr>
              <w:t xml:space="preserve">40 - 49</w:t>
            </w:r>
          </w:p>
        </w:tc>
        <w:tc>
          <w:tcPr>
            <w:tcW w:type="dxa" w:w="150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rFonts w:ascii="Arial" w:cs="Arial" w:eastAsia="Arial" w:hAnsi="Arial"/>
                <w:sz w:val="22"/>
                <w:szCs w:val="22"/>
              </w:rPr>
              <w:t xml:space="preserve">B</w:t>
            </w:r>
          </w:p>
        </w:tc>
        <w:tc>
          <w:tcPr>
            <w:tcW w:type="dxa" w:w="6506"/>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rFonts w:ascii="Arial" w:cs="Arial" w:eastAsia="Arial" w:hAnsi="Arial"/>
                <w:sz w:val="22"/>
                <w:szCs w:val="22"/>
              </w:rPr>
              <w:t xml:space="preserve">Thin liquidity. Significant execution risk.</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25 - 39</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CCC</w:t>
            </w:r>
          </w:p>
        </w:tc>
        <w:tc>
          <w:tcPr>
            <w:tcW w:type="dxa" w:w="650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Distressed liquidity. Extreme caution required.</w:t>
            </w:r>
          </w:p>
        </w:tc>
      </w:tr>
      <w:tr>
        <w:tc>
          <w:tcPr>
            <w:tcW w:type="dxa" w:w="150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rFonts w:ascii="Arial" w:cs="Arial" w:eastAsia="Arial" w:hAnsi="Arial"/>
                <w:sz w:val="22"/>
                <w:szCs w:val="22"/>
              </w:rPr>
              <w:t xml:space="preserve">0 - 24</w:t>
            </w:r>
          </w:p>
        </w:tc>
        <w:tc>
          <w:tcPr>
            <w:tcW w:type="dxa" w:w="150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rFonts w:ascii="Arial" w:cs="Arial" w:eastAsia="Arial" w:hAnsi="Arial"/>
                <w:sz w:val="22"/>
                <w:szCs w:val="22"/>
              </w:rPr>
              <w:t xml:space="preserve">D</w:t>
            </w:r>
          </w:p>
        </w:tc>
        <w:tc>
          <w:tcPr>
            <w:tcW w:type="dxa" w:w="6506"/>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rFonts w:ascii="Arial" w:cs="Arial" w:eastAsia="Arial" w:hAnsi="Arial"/>
                <w:sz w:val="22"/>
                <w:szCs w:val="22"/>
              </w:rPr>
              <w:t xml:space="preserve">Dislocated. Liquidity effectively absent.</w:t>
            </w:r>
          </w:p>
        </w:tc>
      </w:tr>
    </w:tbl>
    <w:p>
      <w:pPr>
        <w:spacing w:after="80"/>
      </w:pPr>
    </w:p>
    <w:p>
      <w:pPr>
        <w:spacing w:after="160"/>
      </w:pPr>
      <w:r>
        <w:rPr>
          <w:rFonts w:ascii="Arial" w:cs="Arial" w:eastAsia="Arial" w:hAnsi="Arial"/>
          <w:sz w:val="22"/>
          <w:szCs w:val="22"/>
        </w:rPr>
        <w:t xml:space="preserve">The threshold for 'liquidity is real' is a score of 40. Below 40, the system's assessment is that the reported liquidity is not genuine.</w:t>
      </w:r>
    </w:p>
    <w:sectPr>
      <w:pgSz w:w="11906" w:h="16838" w:orient="portrait"/>
      <w:pgMar w:top="1440" w:right="1200" w:bottom="144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sz w:val="32"/>
      <w:szCs w:val="32"/>
    </w:rPr>
  </w:style>
  <w:style w:type="paragraph" w:styleId="Heading2">
    <w:name w:val="Heading 2"/>
    <w:basedOn w:val="Normal"/>
    <w:next w:val="Normal"/>
    <w:qFormat/>
    <w:pPr>
      <w:spacing w:after="160" w:before="280"/>
      <w:outlineLvl w:val="1"/>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2026-06-28T12:05:09.991Z</dcterms:created>
  <dcterms:modified xsi:type="dcterms:W3CDTF">2026-06-28T12:05:09.991Z</dcterms:modified>
</cp:coreProperties>
</file>

<file path=docProps/custom.xml><?xml version="1.0" encoding="utf-8"?>
<Properties xmlns="http://schemas.openxmlformats.org/officeDocument/2006/custom-properties" xmlns:vt="http://schemas.openxmlformats.org/officeDocument/2006/docPropsVTypes"/>
</file>