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TILT</w:t>
      </w:r>
    </w:p>
    <w:p>
      <w:pPr>
        <w:spacing w:after="120"/>
        <w:jc w:val="center"/>
      </w:pPr>
      <w:r>
        <w:rPr>
          <w:rFonts w:ascii="Arial" w:cs="Arial" w:eastAsia="Arial" w:hAnsi="Arial"/>
          <w:b/>
          <w:bCs/>
          <w:sz w:val="36"/>
          <w:szCs w:val="36"/>
        </w:rPr>
        <w:t xml:space="preserve">Frequently Asked Questions</w:t>
      </w:r>
    </w:p>
    <w:p>
      <w:pPr>
        <w:spacing w:after="400"/>
        <w:jc w:val="center"/>
      </w:pPr>
      <w:r>
        <w:rPr>
          <w:rFonts w:ascii="Arial" w:cs="Arial" w:eastAsia="Arial" w:hAnsi="Arial"/>
          <w:color w:val="666666"/>
          <w:sz w:val="22"/>
          <w:szCs w:val="22"/>
        </w:rPr>
        <w:t xml:space="preserve">Answers to common questions from pilot users</w:t>
      </w:r>
    </w:p>
    <w:p>
      <w:r>
        <w:br w:type="page"/>
      </w:r>
    </w:p>
    <w:p>
      <w:pPr>
        <w:pStyle w:val="Heading1"/>
        <w:spacing w:after="200" w:before="360"/>
      </w:pPr>
      <w:r>
        <w:rPr>
          <w:rFonts w:ascii="Arial" w:cs="Arial" w:eastAsia="Arial" w:hAnsi="Arial"/>
          <w:b/>
          <w:bCs/>
          <w:sz w:val="32"/>
          <w:szCs w:val="32"/>
        </w:rPr>
        <w:t xml:space="preserve">General</w:t>
      </w:r>
    </w:p>
    <w:p>
      <w:pPr>
        <w:spacing w:after="120" w:before="200"/>
      </w:pPr>
      <w:r>
        <w:rPr>
          <w:rFonts w:ascii="Arial" w:cs="Arial" w:eastAsia="Arial" w:hAnsi="Arial"/>
          <w:b/>
          <w:bCs/>
          <w:sz w:val="24"/>
          <w:szCs w:val="24"/>
        </w:rPr>
        <w:t xml:space="preserve">What is TILT?</w:t>
      </w:r>
    </w:p>
    <w:p>
      <w:pPr>
        <w:spacing w:after="160"/>
      </w:pPr>
      <w:r>
        <w:rPr>
          <w:rFonts w:ascii="Arial" w:cs="Arial" w:eastAsia="Arial" w:hAnsi="Arial"/>
          <w:sz w:val="22"/>
          <w:szCs w:val="22"/>
        </w:rPr>
        <w:t xml:space="preserve">TILT stands for The Institutional Liquidity Truth. It is Stratalink's platform for independent, real-time, cross-venue liquidity verification and market integrity intelligence. It monitors the Institutional Liquidity Universe (ILU-20): 20 digital assets selected by systemic importance across five categories.</w:t>
      </w:r>
    </w:p>
    <w:p>
      <w:pPr>
        <w:spacing w:after="120" w:before="200"/>
      </w:pPr>
      <w:r>
        <w:rPr>
          <w:rFonts w:ascii="Arial" w:cs="Arial" w:eastAsia="Arial" w:hAnsi="Arial"/>
          <w:b/>
          <w:bCs/>
          <w:sz w:val="24"/>
          <w:szCs w:val="24"/>
        </w:rPr>
        <w:t xml:space="preserve">Where does the data come from?</w:t>
      </w:r>
    </w:p>
    <w:p>
      <w:pPr>
        <w:spacing w:after="160"/>
      </w:pPr>
      <w:r>
        <w:rPr>
          <w:rFonts w:ascii="Arial" w:cs="Arial" w:eastAsia="Arial" w:hAnsi="Arial"/>
          <w:sz w:val="22"/>
          <w:szCs w:val="22"/>
        </w:rPr>
        <w:t xml:space="preserve">TILT aggregates real-time orderbook, trade, and volume data from 14+ venues including Binance, Coinbase, Kraken, OKX, Bybit, Hyperliquid, Uniswap, and others. All data is normalised into a single canonical schema by the DACT (Digital Assets Consolidated Tape) layer. The data comes from the venues directly, not from any third-party data aggregator.</w:t>
      </w:r>
    </w:p>
    <w:p>
      <w:pPr>
        <w:spacing w:after="120" w:before="200"/>
      </w:pPr>
      <w:r>
        <w:rPr>
          <w:rFonts w:ascii="Arial" w:cs="Arial" w:eastAsia="Arial" w:hAnsi="Arial"/>
          <w:b/>
          <w:bCs/>
          <w:sz w:val="24"/>
          <w:szCs w:val="24"/>
        </w:rPr>
        <w:t xml:space="preserve">Why are some tokens showing '--' instead of data?</w:t>
      </w:r>
    </w:p>
    <w:p>
      <w:pPr>
        <w:spacing w:after="160"/>
      </w:pPr>
      <w:r>
        <w:rPr>
          <w:rFonts w:ascii="Arial" w:cs="Arial" w:eastAsia="Arial" w:hAnsi="Arial"/>
          <w:sz w:val="22"/>
          <w:szCs w:val="22"/>
        </w:rPr>
        <w:t xml:space="preserve">The ILU-20 defines 20 systemically important assets. Active venue data feeds may not yet be enabled for all 20. Tokens showing '--' are in the universe and will display data once their venue feeds are activated. The system does not show invented or placeholder data.</w:t>
      </w:r>
    </w:p>
    <w:p>
      <w:pPr>
        <w:spacing w:after="120" w:before="200"/>
      </w:pPr>
      <w:r>
        <w:rPr>
          <w:rFonts w:ascii="Arial" w:cs="Arial" w:eastAsia="Arial" w:hAnsi="Arial"/>
          <w:b/>
          <w:bCs/>
          <w:sz w:val="24"/>
          <w:szCs w:val="24"/>
        </w:rPr>
        <w:t xml:space="preserve">How often does the data update?</w:t>
      </w:r>
    </w:p>
    <w:p>
      <w:pPr>
        <w:spacing w:after="160"/>
      </w:pPr>
      <w:r>
        <w:rPr>
          <w:rFonts w:ascii="Arial" w:cs="Arial" w:eastAsia="Arial" w:hAnsi="Arial"/>
          <w:sz w:val="22"/>
          <w:szCs w:val="22"/>
        </w:rPr>
        <w:t xml:space="preserve">The TSLE buffer receives venue data continuously. The TILT interface polls for updated snapshots every 5 seconds. PoLi scores, STRATA AI detection evaluations, and EWDS indicators update on each polling cycle.</w:t>
      </w:r>
    </w:p>
    <w:p>
      <w:r>
        <w:br w:type="page"/>
      </w:r>
    </w:p>
    <w:p>
      <w:pPr>
        <w:pStyle w:val="Heading1"/>
        <w:spacing w:after="200" w:before="360"/>
      </w:pPr>
      <w:r>
        <w:rPr>
          <w:rFonts w:ascii="Arial" w:cs="Arial" w:eastAsia="Arial" w:hAnsi="Arial"/>
          <w:b/>
          <w:bCs/>
          <w:sz w:val="32"/>
          <w:szCs w:val="32"/>
        </w:rPr>
        <w:t xml:space="preserve">Scores and Ratings</w:t>
      </w:r>
    </w:p>
    <w:p>
      <w:pPr>
        <w:spacing w:after="120" w:before="200"/>
      </w:pPr>
      <w:r>
        <w:rPr>
          <w:rFonts w:ascii="Arial" w:cs="Arial" w:eastAsia="Arial" w:hAnsi="Arial"/>
          <w:b/>
          <w:bCs/>
          <w:sz w:val="24"/>
          <w:szCs w:val="24"/>
        </w:rPr>
        <w:t xml:space="preserve">What does a PoLi score of 47 mean?</w:t>
      </w:r>
    </w:p>
    <w:p>
      <w:pPr>
        <w:spacing w:after="160"/>
      </w:pPr>
      <w:r>
        <w:rPr>
          <w:rFonts w:ascii="Arial" w:cs="Arial" w:eastAsia="Arial" w:hAnsi="Arial"/>
          <w:sz w:val="22"/>
          <w:szCs w:val="22"/>
        </w:rPr>
        <w:t xml:space="preserve">A PoLi score of 47 falls in the B rating band (40-49), which means 'thin liquidity with significant execution risk.' The liquidity is technically real (the threshold is 40), but it is thin enough that institutional-size orders would face meaningful execution challenges. This would be classified as an amber/warning state.</w:t>
      </w:r>
    </w:p>
    <w:p>
      <w:pPr>
        <w:spacing w:after="120" w:before="200"/>
      </w:pPr>
      <w:r>
        <w:rPr>
          <w:rFonts w:ascii="Arial" w:cs="Arial" w:eastAsia="Arial" w:hAnsi="Arial"/>
          <w:b/>
          <w:bCs/>
          <w:sz w:val="24"/>
          <w:szCs w:val="24"/>
        </w:rPr>
        <w:t xml:space="preserve">What is the difference between the L5F score and the PoLi score?</w:t>
      </w:r>
    </w:p>
    <w:p>
      <w:pPr>
        <w:spacing w:after="160"/>
      </w:pPr>
      <w:r>
        <w:rPr>
          <w:rFonts w:ascii="Arial" w:cs="Arial" w:eastAsia="Arial" w:hAnsi="Arial"/>
          <w:sz w:val="22"/>
          <w:szCs w:val="22"/>
        </w:rPr>
        <w:t xml:space="preserve">The L5F (Liquidity 5-Factor Score) is the composite health metric shown on the Liquidity page. It measures overall liquidity health including resilience, fragmentation, and regime stability. The PoLi (Proof of Liquidity) score is the verification metric shown on the PoLi/PoMI page. It specifically answers whether the reported liquidity is genuine, based on depth, spread, and balance verification. Both use a 0-100 scale but they measure different things. The L5F tells you how healthy the liquidity is. PoLi tells you whether it is real.</w:t>
      </w:r>
    </w:p>
    <w:p>
      <w:pPr>
        <w:spacing w:after="120" w:before="200"/>
      </w:pPr>
      <w:r>
        <w:rPr>
          <w:rFonts w:ascii="Arial" w:cs="Arial" w:eastAsia="Arial" w:hAnsi="Arial"/>
          <w:b/>
          <w:bCs/>
          <w:sz w:val="24"/>
          <w:szCs w:val="24"/>
        </w:rPr>
        <w:t xml:space="preserve">What is the STRATA AI Composite Integrity Score?</w:t>
      </w:r>
    </w:p>
    <w:p>
      <w:pPr>
        <w:spacing w:after="160"/>
      </w:pPr>
      <w:r>
        <w:rPr>
          <w:rFonts w:ascii="Arial" w:cs="Arial" w:eastAsia="Arial" w:hAnsi="Arial"/>
          <w:sz w:val="22"/>
          <w:szCs w:val="22"/>
        </w:rPr>
        <w:t xml:space="preserve">An aggregate score computed from the six STRATA AI detection categories (Cross-Venue Divergence, Depth Manipulation, Liquidity Concentration, Spread Anomaly, Regime Instability, Execution Integrity). When all categories are NORMAL, the composite is high. When categories are ELEVATED or CRITICAL, the composite drops. It provides a single-number summary of overall market integrity.</w:t>
      </w:r>
    </w:p>
    <w:p>
      <w:pPr>
        <w:pStyle w:val="Heading1"/>
        <w:spacing w:after="200" w:before="360"/>
      </w:pPr>
      <w:r>
        <w:rPr>
          <w:rFonts w:ascii="Arial" w:cs="Arial" w:eastAsia="Arial" w:hAnsi="Arial"/>
          <w:b/>
          <w:bCs/>
          <w:sz w:val="32"/>
          <w:szCs w:val="32"/>
        </w:rPr>
        <w:t xml:space="preserve">Regulatory Use</w:t>
      </w:r>
    </w:p>
    <w:p>
      <w:pPr>
        <w:spacing w:after="120" w:before="200"/>
      </w:pPr>
      <w:r>
        <w:rPr>
          <w:rFonts w:ascii="Arial" w:cs="Arial" w:eastAsia="Arial" w:hAnsi="Arial"/>
          <w:b/>
          <w:bCs/>
          <w:sz w:val="24"/>
          <w:szCs w:val="24"/>
        </w:rPr>
        <w:t xml:space="preserve">What is the RCL?</w:t>
      </w:r>
    </w:p>
    <w:p>
      <w:pPr>
        <w:spacing w:after="160"/>
      </w:pPr>
      <w:r>
        <w:rPr>
          <w:rFonts w:ascii="Arial" w:cs="Arial" w:eastAsia="Arial" w:hAnsi="Arial"/>
          <w:sz w:val="22"/>
          <w:szCs w:val="22"/>
        </w:rPr>
        <w:t xml:space="preserve">The Regulatory Consumption Layer is the supervisory-specific view within TILT. It provides Tier 3 access (full venue attribution), evidence levels, data provenance, and export capabilities designed for regulatory supervision. It is read-only by design: it renders verified data but does not predict, advise, or facilitate trading.</w:t>
      </w:r>
    </w:p>
    <w:p>
      <w:pPr>
        <w:spacing w:after="120" w:before="200"/>
      </w:pPr>
      <w:r>
        <w:rPr>
          <w:rFonts w:ascii="Arial" w:cs="Arial" w:eastAsia="Arial" w:hAnsi="Arial"/>
          <w:b/>
          <w:bCs/>
          <w:sz w:val="24"/>
          <w:szCs w:val="24"/>
        </w:rPr>
        <w:t xml:space="preserve">Can I export data for supervisory reports?</w:t>
      </w:r>
    </w:p>
    <w:p>
      <w:pPr>
        <w:spacing w:after="160"/>
      </w:pPr>
      <w:r>
        <w:rPr>
          <w:rFonts w:ascii="Arial" w:cs="Arial" w:eastAsia="Arial" w:hAnsi="Arial"/>
          <w:sz w:val="22"/>
          <w:szCs w:val="22"/>
        </w:rPr>
        <w:t xml:space="preserve">Yes. The RCL page supports JSON and PDF export of the current snapshot. Automated daily, weekly, and monthly reports are available during the pilot (frequency and format to be confirmed during onboarding).</w:t>
      </w:r>
    </w:p>
    <w:p>
      <w:pPr>
        <w:spacing w:after="120" w:before="200"/>
      </w:pPr>
      <w:r>
        <w:rPr>
          <w:rFonts w:ascii="Arial" w:cs="Arial" w:eastAsia="Arial" w:hAnsi="Arial"/>
          <w:b/>
          <w:bCs/>
          <w:sz w:val="24"/>
          <w:szCs w:val="24"/>
        </w:rPr>
        <w:t xml:space="preserve">What is the evidence level?</w:t>
      </w:r>
    </w:p>
    <w:p>
      <w:pPr>
        <w:spacing w:after="160"/>
      </w:pPr>
      <w:r>
        <w:rPr>
          <w:rFonts w:ascii="Arial" w:cs="Arial" w:eastAsia="Arial" w:hAnsi="Arial"/>
          <w:sz w:val="22"/>
          <w:szCs w:val="22"/>
        </w:rPr>
        <w:t xml:space="preserve">The evidence level (L1 through L5) indicates the depth of venue coverage supporting the verification. L1 means single-venue data. L3 (Supervisory Sufficiency) means three or more venues providing corroborating data. L5 means full cross-venue verification across all monitored venues.</w:t>
      </w:r>
    </w:p>
    <w:p>
      <w:pPr>
        <w:spacing w:after="120" w:before="200"/>
      </w:pPr>
      <w:r>
        <w:rPr>
          <w:rFonts w:ascii="Arial" w:cs="Arial" w:eastAsia="Arial" w:hAnsi="Arial"/>
          <w:b/>
          <w:bCs/>
          <w:sz w:val="24"/>
          <w:szCs w:val="24"/>
        </w:rPr>
        <w:t xml:space="preserve">What does 'read-only by design' mean?</w:t>
      </w:r>
    </w:p>
    <w:p>
      <w:pPr>
        <w:spacing w:after="160"/>
      </w:pPr>
      <w:r>
        <w:rPr>
          <w:rFonts w:ascii="Arial" w:cs="Arial" w:eastAsia="Arial" w:hAnsi="Arial"/>
          <w:sz w:val="22"/>
          <w:szCs w:val="22"/>
        </w:rPr>
        <w:t xml:space="preserve">TILT and RCL are architecturally constrained to display and analyse data. They cannot write back to any data source, cannot generate trading signals, cannot execute trades, and cannot provide financial advice. This constraint is not just a policy but an architectural principle embedded in the system design. It ensures Stratalink sits outside the regulatory perimeter.</w:t>
      </w:r>
    </w:p>
    <w:p>
      <w:pPr>
        <w:pStyle w:val="Heading1"/>
        <w:spacing w:after="200" w:before="360"/>
      </w:pPr>
      <w:r>
        <w:rPr>
          <w:rFonts w:ascii="Arial" w:cs="Arial" w:eastAsia="Arial" w:hAnsi="Arial"/>
          <w:b/>
          <w:bCs/>
          <w:sz w:val="32"/>
          <w:szCs w:val="32"/>
        </w:rPr>
        <w:t xml:space="preserve">Alerts and Detection</w:t>
      </w:r>
    </w:p>
    <w:p>
      <w:pPr>
        <w:spacing w:after="120" w:before="200"/>
      </w:pPr>
      <w:r>
        <w:rPr>
          <w:rFonts w:ascii="Arial" w:cs="Arial" w:eastAsia="Arial" w:hAnsi="Arial"/>
          <w:b/>
          <w:bCs/>
          <w:sz w:val="24"/>
          <w:szCs w:val="24"/>
        </w:rPr>
        <w:t xml:space="preserve">How far in advance can STRATA AI detect problems?</w:t>
      </w:r>
    </w:p>
    <w:p>
      <w:pPr>
        <w:spacing w:after="160"/>
      </w:pPr>
      <w:r>
        <w:rPr>
          <w:rFonts w:ascii="Arial" w:cs="Arial" w:eastAsia="Arial" w:hAnsi="Arial"/>
          <w:sz w:val="22"/>
          <w:szCs w:val="22"/>
        </w:rPr>
        <w:t xml:space="preserve">Based on validation against the October 2025 Great Perps Unwind event data, the STRATA AI detection framework identified stress signals 6 to 8 hours before the systemic collapse. The actual advance warning window depends on current EWDS stress levels: all green gives the full 6-8 hour window; elevated stress reduces it to 4-6 hours; active stress reduces it further.</w:t>
      </w:r>
    </w:p>
    <w:p>
      <w:pPr>
        <w:spacing w:after="120" w:before="200"/>
      </w:pPr>
      <w:r>
        <w:rPr>
          <w:rFonts w:ascii="Arial" w:cs="Arial" w:eastAsia="Arial" w:hAnsi="Arial"/>
          <w:b/>
          <w:bCs/>
          <w:sz w:val="24"/>
          <w:szCs w:val="24"/>
        </w:rPr>
        <w:t xml:space="preserve">What should I do when I see a red alert?</w:t>
      </w:r>
    </w:p>
    <w:p>
      <w:pPr>
        <w:spacing w:after="160"/>
      </w:pPr>
      <w:r>
        <w:rPr>
          <w:rFonts w:ascii="Arial" w:cs="Arial" w:eastAsia="Arial" w:hAnsi="Arial"/>
          <w:sz w:val="22"/>
          <w:szCs w:val="22"/>
        </w:rPr>
        <w:t xml:space="preserve">A red (CRITICAL) alert means a significant threshold breach or anomaly has been detected. Review the alert detail to understand what triggered it. Cross-reference with the Liquidity page and STRATA AI page for context. Determine whether the situation warrants internal escalation within your supervisory team. The alert data, including timestamps and venue attribution, is available for inclusion in supervisory records.</w:t>
      </w:r>
    </w:p>
    <w:p>
      <w:pPr>
        <w:pStyle w:val="Heading1"/>
        <w:spacing w:after="200" w:before="360"/>
      </w:pPr>
      <w:r>
        <w:rPr>
          <w:rFonts w:ascii="Arial" w:cs="Arial" w:eastAsia="Arial" w:hAnsi="Arial"/>
          <w:b/>
          <w:bCs/>
          <w:sz w:val="32"/>
          <w:szCs w:val="32"/>
        </w:rPr>
        <w:t xml:space="preserve">Technical</w:t>
      </w:r>
    </w:p>
    <w:p>
      <w:pPr>
        <w:spacing w:after="120" w:before="200"/>
      </w:pPr>
      <w:r>
        <w:rPr>
          <w:rFonts w:ascii="Arial" w:cs="Arial" w:eastAsia="Arial" w:hAnsi="Arial"/>
          <w:b/>
          <w:bCs/>
          <w:sz w:val="24"/>
          <w:szCs w:val="24"/>
        </w:rPr>
        <w:t xml:space="preserve">What is the Institutional Liquidity Universe (ILU-20)?</w:t>
      </w:r>
    </w:p>
    <w:p>
      <w:pPr>
        <w:spacing w:after="160"/>
      </w:pPr>
      <w:r>
        <w:rPr>
          <w:rFonts w:ascii="Arial" w:cs="Arial" w:eastAsia="Arial" w:hAnsi="Arial"/>
          <w:sz w:val="22"/>
          <w:szCs w:val="22"/>
        </w:rPr>
        <w:t xml:space="preserve">The ILU-20 is Stratalink's proprietary asset classification framework. It identifies the 20 digital assets that are systemically important to institutional digital asset markets, selected using weighted criteria (cross-venue liquidity, trading volume, derivatives open interest, stablecoin settlement usage, collateral usage, custodian support, institutional ownership, and interconnectedness). This approach mirrors how regulators identify systemically important financial institutions.</w:t>
      </w:r>
    </w:p>
    <w:p>
      <w:pPr>
        <w:spacing w:after="120" w:before="200"/>
      </w:pPr>
      <w:r>
        <w:rPr>
          <w:rFonts w:ascii="Arial" w:cs="Arial" w:eastAsia="Arial" w:hAnsi="Arial"/>
          <w:b/>
          <w:bCs/>
          <w:sz w:val="24"/>
          <w:szCs w:val="24"/>
        </w:rPr>
        <w:t xml:space="preserve">What is Canton Network?</w:t>
      </w:r>
    </w:p>
    <w:p>
      <w:pPr>
        <w:spacing w:after="160"/>
      </w:pPr>
      <w:r>
        <w:rPr>
          <w:rFonts w:ascii="Arial" w:cs="Arial" w:eastAsia="Arial" w:hAnsi="Arial"/>
          <w:sz w:val="22"/>
          <w:szCs w:val="22"/>
        </w:rPr>
        <w:t xml:space="preserve">Canton Network is the institutional-grade distributed ledger on which Stratalink publishes cryptographically signed attestations. Canton provides sub-transaction privacy (ensuring venue-attributed data is only visible to authorised regulatory parties) and immutable audit trails. Stratalink operates a validator node on Canton MainNet.</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2026-06-28T12:05:10.151Z</dcterms:created>
  <dcterms:modified xsi:type="dcterms:W3CDTF">2026-06-28T12:05:10.151Z</dcterms:modified>
</cp:coreProperties>
</file>

<file path=docProps/custom.xml><?xml version="1.0" encoding="utf-8"?>
<Properties xmlns="http://schemas.openxmlformats.org/officeDocument/2006/custom-properties" xmlns:vt="http://schemas.openxmlformats.org/officeDocument/2006/docPropsVTypes"/>
</file>