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0"/>
          <w:szCs w:val="20"/>
        </w:rPr>
        <w:t xml:space="preserve">STRATALINK LABS LTD</w:t>
      </w:r>
    </w:p>
    <w:p>
      <w:pPr>
        <w:spacing w:after="120"/>
        <w:jc w:val="center"/>
      </w:pPr>
      <w:r>
        <w:rPr>
          <w:rFonts w:ascii="Arial" w:cs="Arial" w:eastAsia="Arial" w:hAnsi="Arial"/>
          <w:b/>
          <w:bCs/>
          <w:sz w:val="44"/>
          <w:szCs w:val="44"/>
        </w:rPr>
        <w:t xml:space="preserve">TILT</w:t>
      </w:r>
    </w:p>
    <w:p>
      <w:pPr>
        <w:spacing w:after="120"/>
        <w:jc w:val="center"/>
      </w:pPr>
      <w:r>
        <w:rPr>
          <w:rFonts w:ascii="Arial" w:cs="Arial" w:eastAsia="Arial" w:hAnsi="Arial"/>
          <w:b/>
          <w:bCs/>
          <w:sz w:val="36"/>
          <w:szCs w:val="36"/>
        </w:rPr>
        <w:t xml:space="preserve">In-App Help Specification</w:t>
      </w:r>
    </w:p>
    <w:p>
      <w:pPr>
        <w:spacing w:after="400"/>
        <w:jc w:val="center"/>
      </w:pPr>
      <w:r>
        <w:rPr>
          <w:rFonts w:ascii="Arial" w:cs="Arial" w:eastAsia="Arial" w:hAnsi="Arial"/>
          <w:color w:val="666666"/>
          <w:sz w:val="22"/>
          <w:szCs w:val="22"/>
        </w:rPr>
        <w:t xml:space="preserve">Contextual help content for implementation within the platform</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r>
              <w:rPr>
                <w:rFonts w:ascii="Arial" w:cs="Arial" w:eastAsia="Arial" w:hAnsi="Arial"/>
                <w:i/>
                <w:iCs/>
                <w:sz w:val="22"/>
                <w:szCs w:val="22"/>
              </w:rPr>
              <w:t xml:space="preserve">This document specifies the contextual help content to be built into the TILT platform. Each entry defines the trigger location, the help text, and any linked resources. This is a specification for development, not an end-user document.</w:t>
            </w:r>
          </w:p>
        </w:tc>
      </w:tr>
    </w:tbl>
    <w:p>
      <w:r>
        <w:br w:type="page"/>
      </w:r>
    </w:p>
    <w:p>
      <w:pPr>
        <w:pStyle w:val="Heading1"/>
        <w:spacing w:after="200" w:before="360"/>
      </w:pPr>
      <w:r>
        <w:rPr>
          <w:rFonts w:ascii="Arial" w:cs="Arial" w:eastAsia="Arial" w:hAnsi="Arial"/>
          <w:b/>
          <w:bCs/>
          <w:sz w:val="32"/>
          <w:szCs w:val="32"/>
        </w:rPr>
        <w:t xml:space="preserve">1. Help System Design</w:t>
      </w:r>
    </w:p>
    <w:p>
      <w:pPr>
        <w:spacing w:after="160"/>
      </w:pPr>
      <w:r>
        <w:rPr>
          <w:rFonts w:ascii="Arial" w:cs="Arial" w:eastAsia="Arial" w:hAnsi="Arial"/>
          <w:sz w:val="22"/>
          <w:szCs w:val="22"/>
        </w:rPr>
        <w:t xml:space="preserve">The in-app help system uses a help icon (question mark) placed next to key metrics and panel headers. Clicking or hovering the icon displays a tooltip or slide-out panel with a brief explanation of the metric, how it is computed, what the RAG thresholds are, and a link to the full Glossary entry.</w:t>
      </w:r>
    </w:p>
    <w:p>
      <w:pPr>
        <w:spacing w:after="160"/>
      </w:pPr>
      <w:r>
        <w:rPr>
          <w:rFonts w:ascii="Arial" w:cs="Arial" w:eastAsia="Arial" w:hAnsi="Arial"/>
          <w:sz w:val="22"/>
          <w:szCs w:val="22"/>
        </w:rPr>
        <w:t xml:space="preserve">Help content should be concise (2-3 sentences maximum for tooltips, up to one paragraph for slide-out panels). The tone should be clear and direct, written for an institutional professional who understands financial markets but may not be familiar with the specific Stratalink methodology.</w:t>
      </w:r>
    </w:p>
    <w:p>
      <w:pPr>
        <w:pStyle w:val="Heading1"/>
        <w:spacing w:after="200" w:before="360"/>
      </w:pPr>
      <w:r>
        <w:rPr>
          <w:rFonts w:ascii="Arial" w:cs="Arial" w:eastAsia="Arial" w:hAnsi="Arial"/>
          <w:b/>
          <w:bCs/>
          <w:sz w:val="32"/>
          <w:szCs w:val="32"/>
        </w:rPr>
        <w:t xml:space="preserve">2. Liquidity Page Help Content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71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Help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L5F Composite</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Liquidity 5-Factor Score measures overall liquidity health across all monitored venues. It combines Depth Quality, Resilience, Fragmentation, Execution Integrity, and Regime Stability into a single 0-100 score. Green (75+) indicates healthy conditions. Amber (50-74) warrants monitoring. Red (below 50) requires investigation.</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Depth Quality</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Measures orderbook depth at the configured basis point threshold across all venues. Higher scores indicate deeper, more robust orderbooks that can absorb institutional-size orders.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Resilience</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Measures how quickly and completely orderbooks recover after a liquidity shock. Higher scores indicate faster recovery and more resilient market microstructure.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Fragmentation</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Measures the distribution of liquidity across venues. Low fragmentation (high score) means liquidity is well-distributed. High fragmentation (low score) means liquidity is concentrated in fewer venues, increasing systemic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Execution Integrity</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Measures the reliability and consistency of trade execution across venues. Lower scores indicate deteriorating execution quality.</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Regime Stability</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Measures the stability of the current market regime. A declining score indicates the market may be transitioning from stable to stressed conditions.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Cross-Venue Depth Map</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Shows each venue's orderbook depth, share of global depth, regulated status, stability score, and depth share bar. Venues are sorted by depth contribution. This table shows where liquidity actually is across the market.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Regime Classification</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The current market regime for the selected token. NORMAL - STABLE means no pre-stress indicators are active. ELEVATED means some stress indicators are present. STRESSED means significant stress is detected.</w:t>
            </w:r>
          </w:p>
        </w:tc>
      </w:tr>
    </w:tbl>
    <w:p>
      <w:r>
        <w:br w:type="page"/>
      </w:r>
    </w:p>
    <w:p>
      <w:pPr>
        <w:pStyle w:val="Heading1"/>
        <w:spacing w:after="200" w:before="360"/>
      </w:pPr>
      <w:r>
        <w:rPr>
          <w:rFonts w:ascii="Arial" w:cs="Arial" w:eastAsia="Arial" w:hAnsi="Arial"/>
          <w:b/>
          <w:bCs/>
          <w:sz w:val="32"/>
          <w:szCs w:val="32"/>
        </w:rPr>
        <w:t xml:space="preserve">3. STRATA AI Page Help Content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71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Help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Detection Grid</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Six market integrity detection categories evaluated in real time. Each category shows NORMAL (green), ELEVATED (amber), or CRITICAL (red). All categories deriving from live venue data through the L5F analytics engine.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Intelligence Feed</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Real-time signals generated when a detection category changes status. Each signal includes the specific data that triggered the change. Signals are not alerts (which are persistent notifications). Signals are the raw detection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EWDS Indicators</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 Warning Detection System. Six stress indicators that historically provided 6-8 hours of advance warning before systemic events. Fund Rate, Perp Basis, Insurance Fund, Cross-Margin Utilisation, Altcoin Liquidity, and ADL Count.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Composite Integrity</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An aggregate score computed from all six detection categories. Provides a single-number summary of overall market integrity. When all categories are NORMAL, the composite is high. Elevated or critical categories reduce the composite.</w:t>
            </w:r>
          </w:p>
        </w:tc>
      </w:tr>
    </w:tbl>
    <w:p>
      <w:pPr>
        <w:pStyle w:val="Heading1"/>
        <w:spacing w:after="200" w:before="360"/>
      </w:pPr>
      <w:r>
        <w:rPr>
          <w:rFonts w:ascii="Arial" w:cs="Arial" w:eastAsia="Arial" w:hAnsi="Arial"/>
          <w:b/>
          <w:bCs/>
          <w:sz w:val="32"/>
          <w:szCs w:val="32"/>
        </w:rPr>
        <w:t xml:space="preserve">4. PoLi / PoMI Page Help Content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71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Help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 Score</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Proof of Liquidity. Independently verifies whether reported liquidity is genuine. Scored 0-100 from three components: Depth Score (orderbook quality), Balance Score (bid-ask symmetry), and Spread Score (spread integrity). Rated AAA (90+) through D (below 25).</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PoMI Score</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Proof of Market Integrity. Assesses the coordination readiness of the market stability framework across three pillars. PoMI is patent-protected and in active development. Values shown are derived from live data using the PoMI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Threshold Definition</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PoMI Pillar 1. Evaluates whether market stress indicators have reached levels that would trigger the stability protocol. Derived from EWDS indicator levels.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Throttle Activation</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PoMI Pillar 2. Evaluates whether coordinated throttling measures are warranted based on regime classification and systemic stress levels.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Venue Synchronisation</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PoMI Pillar 3. Evaluates whether venues are behaving consistently or diverging, which affects the ability to coordinate a stability response.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Execution Feasibility</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 0-1 index showing whether the market can execute institutional-size orders. Above 0.80 is nominal. Below 0.50 is non-executable.</w:t>
            </w:r>
          </w:p>
        </w:tc>
      </w:tr>
    </w:tbl>
    <w:p>
      <w:pPr>
        <w:pStyle w:val="Heading1"/>
        <w:spacing w:after="200" w:before="360"/>
      </w:pPr>
      <w:r>
        <w:rPr>
          <w:rFonts w:ascii="Arial" w:cs="Arial" w:eastAsia="Arial" w:hAnsi="Arial"/>
          <w:b/>
          <w:bCs/>
          <w:sz w:val="32"/>
          <w:szCs w:val="32"/>
        </w:rPr>
        <w:t xml:space="preserve">5. RCL Page Help Content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71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Help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Coverage Panel</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Shows how much of the market for this token we are actually observing. Venue count, coverage percentage, and last ingestion timestamp.</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Truth Panel</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Shows whether we can trust the data we are seeing. PoLi verification status, evidence level, data integrity metrics, and normalisation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Provenance Panel</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audit trail showing each venue's connection details, data modules, timestamps, and reference identifiers. This is the data lineage from source to display.</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Evidence Level</w:t>
            </w:r>
          </w:p>
        </w:tc>
        <w:tc>
          <w:tcPr>
            <w:tcW w:type="dxa" w:w="71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L1: Single venue data. L3: Supervisory sufficiency (3+ venues). L5: Full cross-venue verification. Higher levels provide stronger verification.</w:t>
            </w:r>
          </w:p>
        </w:tc>
      </w:tr>
    </w:tbl>
    <w:p>
      <w:pPr>
        <w:pStyle w:val="Heading1"/>
        <w:spacing w:after="200" w:before="360"/>
      </w:pPr>
      <w:r>
        <w:rPr>
          <w:rFonts w:ascii="Arial" w:cs="Arial" w:eastAsia="Arial" w:hAnsi="Arial"/>
          <w:b/>
          <w:bCs/>
          <w:sz w:val="32"/>
          <w:szCs w:val="32"/>
        </w:rPr>
        <w:t xml:space="preserve">6. Implementation Notes</w:t>
      </w:r>
    </w:p>
    <w:p>
      <w:pPr>
        <w:spacing w:after="160"/>
      </w:pPr>
      <w:r>
        <w:rPr>
          <w:rFonts w:ascii="Arial" w:cs="Arial" w:eastAsia="Arial" w:hAnsi="Arial"/>
          <w:sz w:val="22"/>
          <w:szCs w:val="22"/>
        </w:rPr>
        <w:t xml:space="preserve">The help system should be implemented as a reusable component that accepts a help key and renders the corresponding content from a central help content configuration file. This allows help text to be updated without modifying individual page components. The help content configuration should be stored alongside the ILU configuration in the shared directory.</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2026-06-28T12:08:06.063Z</dcterms:created>
  <dcterms:modified xsi:type="dcterms:W3CDTF">2026-06-28T12:08:06.064Z</dcterms:modified>
</cp:coreProperties>
</file>

<file path=docProps/custom.xml><?xml version="1.0" encoding="utf-8"?>
<Properties xmlns="http://schemas.openxmlformats.org/officeDocument/2006/custom-properties" xmlns:vt="http://schemas.openxmlformats.org/officeDocument/2006/docPropsVTypes"/>
</file>