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0D1E3A" w:val="clear"/>
            <w:tcMar>
              <w:top w:type="dxa" w:w="100"/>
              <w:left w:type="dxa" w:w="120"/>
              <w:bottom w:type="dxa" w:w="100"/>
              <w:right w:type="dxa" w:w="120"/>
            </w:tcMar>
            <w:vAlign w:val="top"/>
          </w:tcPr>
          <w:p>
            <w:pPr>
              <w:spacing w:after="20" w:before="60"/>
              <w:jc w:val="left"/>
            </w:pPr>
            <w:r>
              <w:rPr>
                <w:rFonts w:ascii="Calibri" w:cs="Calibri" w:eastAsia="Calibri" w:hAnsi="Calibri"/>
                <w:b/>
                <w:bCs/>
                <w:color w:val="C9A84C"/>
                <w:sz w:val="18"/>
                <w:szCs w:val="18"/>
              </w:rPr>
              <w:t xml:space="preserve">STRATALINK LABS LTD</w:t>
            </w:r>
          </w:p>
          <w:p>
            <w:pPr>
              <w:spacing w:after="20" w:before="20"/>
              <w:jc w:val="left"/>
            </w:pPr>
            <w:r>
              <w:rPr>
                <w:rFonts w:ascii="Calibri" w:cs="Calibri" w:eastAsia="Calibri" w:hAnsi="Calibri"/>
                <w:b/>
                <w:bCs/>
                <w:color w:val="FFFFFF"/>
                <w:sz w:val="48"/>
                <w:szCs w:val="48"/>
              </w:rPr>
              <w:t xml:space="preserve">DACT-STD-1.0</w:t>
            </w:r>
          </w:p>
          <w:p>
            <w:pPr>
              <w:spacing w:after="30" w:before="60"/>
              <w:jc w:val="left"/>
            </w:pPr>
            <w:r>
              <w:rPr>
                <w:rFonts w:ascii="Calibri" w:cs="Calibri" w:eastAsia="Calibri" w:hAnsi="Calibri"/>
                <w:b/>
                <w:bCs/>
                <w:color w:val="1A7A8A"/>
                <w:sz w:val="26"/>
                <w:szCs w:val="26"/>
              </w:rPr>
              <w:t xml:space="preserve">Digital Assets Consolidated Tape Standard</w:t>
            </w:r>
          </w:p>
          <w:p>
            <w:pPr>
              <w:spacing w:after="20" w:before="60"/>
              <w:jc w:val="left"/>
            </w:pPr>
            <w:r>
              <w:rPr>
                <w:rFonts w:ascii="Calibri" w:cs="Calibri" w:eastAsia="Calibri" w:hAnsi="Calibri"/>
                <w:color w:val="F2F4F7"/>
                <w:sz w:val="22"/>
                <w:szCs w:val="22"/>
              </w:rPr>
              <w:t xml:space="preserve">Layer 1 Standard Specification</w:t>
            </w:r>
          </w:p>
        </w:tc>
      </w:tr>
    </w:tbl>
    <w:p>
      <w:pPr>
        <w:spacing w:after="200" w:before="2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c>
          <w:tcPr>
            <w:tcW w:type="dxa" w:w="2200"/>
            <w:tcBorders>
              <w:top w:val="single" w:color="D0D4DC" w:sz="4"/>
              <w:left w:val="single" w:color="D0D4DC" w:sz="4"/>
              <w:bottom w:val="single" w:color="D0D4DC" w:sz="4"/>
              <w:right w:val="single" w:color="D0D4DC" w:sz="4"/>
            </w:tcBorders>
            <w:shd w:fill="EEF2F8" w:val="clear"/>
            <w:tcMar>
              <w:top w:type="dxa" w:w="100"/>
              <w:left w:type="dxa" w:w="120"/>
              <w:bottom w:type="dxa" w:w="100"/>
              <w:right w:type="dxa" w:w="120"/>
            </w:tcMar>
            <w:vAlign w:val="top"/>
          </w:tcPr>
          <w:p>
            <w:pPr>
              <w:spacing w:after="60" w:before="60"/>
              <w:jc w:val="left"/>
            </w:pPr>
            <w:r>
              <w:rPr>
                <w:rFonts w:ascii="Calibri" w:cs="Calibri" w:eastAsia="Calibri" w:hAnsi="Calibri"/>
                <w:b/>
                <w:bCs/>
                <w:color w:val="0D1E3A"/>
                <w:sz w:val="19"/>
                <w:szCs w:val="19"/>
              </w:rPr>
              <w:t xml:space="preserve">Status</w:t>
            </w:r>
          </w:p>
        </w:tc>
        <w:tc>
          <w:tcPr>
            <w:tcW w:type="dxa" w:w="7546"/>
            <w:tcBorders>
              <w:top w:val="single" w:color="D0D4DC" w:sz="4"/>
              <w:left w:val="single" w:color="D0D4DC" w:sz="4"/>
              <w:bottom w:val="single" w:color="D0D4DC" w:sz="4"/>
              <w:right w:val="single" w:color="D0D4DC" w:sz="4"/>
            </w:tcBorders>
            <w:shd w:fill="FFFFFF" w:val="clear"/>
            <w:tcMar>
              <w:top w:type="dxa" w:w="100"/>
              <w:left w:type="dxa" w:w="120"/>
              <w:bottom w:type="dxa" w:w="100"/>
              <w:right w:type="dxa" w:w="120"/>
            </w:tcMar>
            <w:vAlign w:val="top"/>
          </w:tcPr>
          <w:p>
            <w:pPr>
              <w:spacing w:after="60" w:before="60"/>
              <w:jc w:val="left"/>
            </w:pPr>
            <w:r>
              <w:rPr>
                <w:rFonts w:ascii="Calibri" w:cs="Calibri" w:eastAsia="Calibri" w:hAnsi="Calibri"/>
                <w:color w:val="1A1A2E"/>
                <w:sz w:val="19"/>
                <w:szCs w:val="19"/>
              </w:rPr>
              <w:t xml:space="preserve">Final (Proposed Standard)</w:t>
            </w:r>
          </w:p>
        </w:tc>
      </w:tr>
      <w:tr>
        <w:tc>
          <w:tcPr>
            <w:tcW w:type="dxa" w:w="2200"/>
            <w:tcBorders>
              <w:top w:val="single" w:color="D0D4DC" w:sz="4"/>
              <w:left w:val="single" w:color="D0D4DC" w:sz="4"/>
              <w:bottom w:val="single" w:color="D0D4DC" w:sz="4"/>
              <w:right w:val="single" w:color="D0D4DC" w:sz="4"/>
            </w:tcBorders>
            <w:shd w:fill="EEF2F8" w:val="clear"/>
            <w:tcMar>
              <w:top w:type="dxa" w:w="100"/>
              <w:left w:type="dxa" w:w="120"/>
              <w:bottom w:type="dxa" w:w="100"/>
              <w:right w:type="dxa" w:w="120"/>
            </w:tcMar>
            <w:vAlign w:val="top"/>
          </w:tcPr>
          <w:p>
            <w:pPr>
              <w:spacing w:after="60" w:before="60"/>
              <w:jc w:val="left"/>
            </w:pPr>
            <w:r>
              <w:rPr>
                <w:rFonts w:ascii="Calibri" w:cs="Calibri" w:eastAsia="Calibri" w:hAnsi="Calibri"/>
                <w:b/>
                <w:bCs/>
                <w:color w:val="0D1E3A"/>
                <w:sz w:val="19"/>
                <w:szCs w:val="19"/>
              </w:rPr>
              <w:t xml:space="preserve">Version</w:t>
            </w:r>
          </w:p>
        </w:tc>
        <w:tc>
          <w:tcPr>
            <w:tcW w:type="dxa" w:w="7546"/>
            <w:tcBorders>
              <w:top w:val="single" w:color="D0D4DC" w:sz="4"/>
              <w:left w:val="single" w:color="D0D4DC" w:sz="4"/>
              <w:bottom w:val="single" w:color="D0D4DC" w:sz="4"/>
              <w:right w:val="single" w:color="D0D4DC" w:sz="4"/>
            </w:tcBorders>
            <w:shd w:fill="FFFFFF" w:val="clear"/>
            <w:tcMar>
              <w:top w:type="dxa" w:w="100"/>
              <w:left w:type="dxa" w:w="120"/>
              <w:bottom w:type="dxa" w:w="100"/>
              <w:right w:type="dxa" w:w="120"/>
            </w:tcMar>
            <w:vAlign w:val="top"/>
          </w:tcPr>
          <w:p>
            <w:pPr>
              <w:spacing w:after="60" w:before="60"/>
              <w:jc w:val="left"/>
            </w:pPr>
            <w:r>
              <w:rPr>
                <w:rFonts w:ascii="Calibri" w:cs="Calibri" w:eastAsia="Calibri" w:hAnsi="Calibri"/>
                <w:color w:val="1A1A2E"/>
                <w:sz w:val="19"/>
                <w:szCs w:val="19"/>
              </w:rPr>
              <w:t xml:space="preserve">1.0</w:t>
            </w:r>
          </w:p>
        </w:tc>
      </w:tr>
      <w:tr>
        <w:tc>
          <w:tcPr>
            <w:tcW w:type="dxa" w:w="2200"/>
            <w:tcBorders>
              <w:top w:val="single" w:color="D0D4DC" w:sz="4"/>
              <w:left w:val="single" w:color="D0D4DC" w:sz="4"/>
              <w:bottom w:val="single" w:color="D0D4DC" w:sz="4"/>
              <w:right w:val="single" w:color="D0D4DC" w:sz="4"/>
            </w:tcBorders>
            <w:shd w:fill="EEF2F8" w:val="clear"/>
            <w:tcMar>
              <w:top w:type="dxa" w:w="100"/>
              <w:left w:type="dxa" w:w="120"/>
              <w:bottom w:type="dxa" w:w="100"/>
              <w:right w:type="dxa" w:w="120"/>
            </w:tcMar>
            <w:vAlign w:val="top"/>
          </w:tcPr>
          <w:p>
            <w:pPr>
              <w:spacing w:after="60" w:before="60"/>
              <w:jc w:val="left"/>
            </w:pPr>
            <w:r>
              <w:rPr>
                <w:rFonts w:ascii="Calibri" w:cs="Calibri" w:eastAsia="Calibri" w:hAnsi="Calibri"/>
                <w:b/>
                <w:bCs/>
                <w:color w:val="0D1E3A"/>
                <w:sz w:val="19"/>
                <w:szCs w:val="19"/>
              </w:rPr>
              <w:t xml:space="preserve">Date</w:t>
            </w:r>
          </w:p>
        </w:tc>
        <w:tc>
          <w:tcPr>
            <w:tcW w:type="dxa" w:w="7546"/>
            <w:tcBorders>
              <w:top w:val="single" w:color="D0D4DC" w:sz="4"/>
              <w:left w:val="single" w:color="D0D4DC" w:sz="4"/>
              <w:bottom w:val="single" w:color="D0D4DC" w:sz="4"/>
              <w:right w:val="single" w:color="D0D4DC" w:sz="4"/>
            </w:tcBorders>
            <w:shd w:fill="FFFFFF" w:val="clear"/>
            <w:tcMar>
              <w:top w:type="dxa" w:w="100"/>
              <w:left w:type="dxa" w:w="120"/>
              <w:bottom w:type="dxa" w:w="100"/>
              <w:right w:type="dxa" w:w="120"/>
            </w:tcMar>
            <w:vAlign w:val="top"/>
          </w:tcPr>
          <w:p>
            <w:pPr>
              <w:spacing w:after="60" w:before="60"/>
              <w:jc w:val="left"/>
            </w:pPr>
            <w:r>
              <w:rPr>
                <w:rFonts w:ascii="Calibri" w:cs="Calibri" w:eastAsia="Calibri" w:hAnsi="Calibri"/>
                <w:color w:val="1A1A2E"/>
                <w:sz w:val="19"/>
                <w:szCs w:val="19"/>
              </w:rPr>
              <w:t xml:space="preserve">April 2026</w:t>
            </w:r>
          </w:p>
        </w:tc>
      </w:tr>
      <w:tr>
        <w:tc>
          <w:tcPr>
            <w:tcW w:type="dxa" w:w="2200"/>
            <w:tcBorders>
              <w:top w:val="single" w:color="D0D4DC" w:sz="4"/>
              <w:left w:val="single" w:color="D0D4DC" w:sz="4"/>
              <w:bottom w:val="single" w:color="D0D4DC" w:sz="4"/>
              <w:right w:val="single" w:color="D0D4DC" w:sz="4"/>
            </w:tcBorders>
            <w:shd w:fill="EEF2F8" w:val="clear"/>
            <w:tcMar>
              <w:top w:type="dxa" w:w="100"/>
              <w:left w:type="dxa" w:w="120"/>
              <w:bottom w:type="dxa" w:w="100"/>
              <w:right w:type="dxa" w:w="120"/>
            </w:tcMar>
            <w:vAlign w:val="top"/>
          </w:tcPr>
          <w:p>
            <w:pPr>
              <w:spacing w:after="60" w:before="60"/>
              <w:jc w:val="left"/>
            </w:pPr>
            <w:r>
              <w:rPr>
                <w:rFonts w:ascii="Calibri" w:cs="Calibri" w:eastAsia="Calibri" w:hAnsi="Calibri"/>
                <w:b/>
                <w:bCs/>
                <w:color w:val="0D1E3A"/>
                <w:sz w:val="19"/>
                <w:szCs w:val="19"/>
              </w:rPr>
              <w:t xml:space="preserve">Maintainer</w:t>
            </w:r>
          </w:p>
        </w:tc>
        <w:tc>
          <w:tcPr>
            <w:tcW w:type="dxa" w:w="7546"/>
            <w:tcBorders>
              <w:top w:val="single" w:color="D0D4DC" w:sz="4"/>
              <w:left w:val="single" w:color="D0D4DC" w:sz="4"/>
              <w:bottom w:val="single" w:color="D0D4DC" w:sz="4"/>
              <w:right w:val="single" w:color="D0D4DC" w:sz="4"/>
            </w:tcBorders>
            <w:shd w:fill="FFFFFF" w:val="clear"/>
            <w:tcMar>
              <w:top w:type="dxa" w:w="100"/>
              <w:left w:type="dxa" w:w="120"/>
              <w:bottom w:type="dxa" w:w="100"/>
              <w:right w:type="dxa" w:w="120"/>
            </w:tcMar>
            <w:vAlign w:val="top"/>
          </w:tcPr>
          <w:p>
            <w:pPr>
              <w:spacing w:after="60" w:before="60"/>
              <w:jc w:val="left"/>
            </w:pPr>
            <w:r>
              <w:rPr>
                <w:rFonts w:ascii="Calibri" w:cs="Calibri" w:eastAsia="Calibri" w:hAnsi="Calibri"/>
                <w:color w:val="1A1A2E"/>
                <w:sz w:val="19"/>
                <w:szCs w:val="19"/>
              </w:rPr>
              <w:t xml:space="preserve">Stratalink Labs Ltd</w:t>
            </w:r>
          </w:p>
        </w:tc>
      </w:tr>
      <w:tr>
        <w:tc>
          <w:tcPr>
            <w:tcW w:type="dxa" w:w="2200"/>
            <w:tcBorders>
              <w:top w:val="single" w:color="D0D4DC" w:sz="4"/>
              <w:left w:val="single" w:color="D0D4DC" w:sz="4"/>
              <w:bottom w:val="single" w:color="D0D4DC" w:sz="4"/>
              <w:right w:val="single" w:color="D0D4DC" w:sz="4"/>
            </w:tcBorders>
            <w:shd w:fill="EEF2F8" w:val="clear"/>
            <w:tcMar>
              <w:top w:type="dxa" w:w="100"/>
              <w:left w:type="dxa" w:w="120"/>
              <w:bottom w:type="dxa" w:w="100"/>
              <w:right w:type="dxa" w:w="120"/>
            </w:tcMar>
            <w:vAlign w:val="top"/>
          </w:tcPr>
          <w:p>
            <w:pPr>
              <w:spacing w:after="60" w:before="60"/>
              <w:jc w:val="left"/>
            </w:pPr>
            <w:r>
              <w:rPr>
                <w:rFonts w:ascii="Calibri" w:cs="Calibri" w:eastAsia="Calibri" w:hAnsi="Calibri"/>
                <w:b/>
                <w:bCs/>
                <w:color w:val="0D1E3A"/>
                <w:sz w:val="19"/>
                <w:szCs w:val="19"/>
              </w:rPr>
              <w:t xml:space="preserve">Depends On</w:t>
            </w:r>
          </w:p>
        </w:tc>
        <w:tc>
          <w:tcPr>
            <w:tcW w:type="dxa" w:w="7546"/>
            <w:tcBorders>
              <w:top w:val="single" w:color="D0D4DC" w:sz="4"/>
              <w:left w:val="single" w:color="D0D4DC" w:sz="4"/>
              <w:bottom w:val="single" w:color="D0D4DC" w:sz="4"/>
              <w:right w:val="single" w:color="D0D4DC" w:sz="4"/>
            </w:tcBorders>
            <w:shd w:fill="FFFFFF" w:val="clear"/>
            <w:tcMar>
              <w:top w:type="dxa" w:w="100"/>
              <w:left w:type="dxa" w:w="120"/>
              <w:bottom w:type="dxa" w:w="100"/>
              <w:right w:type="dxa" w:w="120"/>
            </w:tcMar>
            <w:vAlign w:val="top"/>
          </w:tcPr>
          <w:p>
            <w:pPr>
              <w:spacing w:after="60" w:before="60"/>
              <w:jc w:val="left"/>
            </w:pPr>
            <w:r>
              <w:rPr>
                <w:rFonts w:ascii="Calibri" w:cs="Calibri" w:eastAsia="Calibri" w:hAnsi="Calibri"/>
                <w:color w:val="1A1A2E"/>
                <w:sz w:val="19"/>
                <w:szCs w:val="19"/>
              </w:rPr>
              <w:t xml:space="preserve">LTF-1.0; LTR-0.1 (Liquidity Tape Reference)</w:t>
            </w:r>
          </w:p>
        </w:tc>
      </w:tr>
      <w:tr>
        <w:tc>
          <w:tcPr>
            <w:tcW w:type="dxa" w:w="2200"/>
            <w:tcBorders>
              <w:top w:val="single" w:color="D0D4DC" w:sz="4"/>
              <w:left w:val="single" w:color="D0D4DC" w:sz="4"/>
              <w:bottom w:val="single" w:color="D0D4DC" w:sz="4"/>
              <w:right w:val="single" w:color="D0D4DC" w:sz="4"/>
            </w:tcBorders>
            <w:shd w:fill="EEF2F8" w:val="clear"/>
            <w:tcMar>
              <w:top w:type="dxa" w:w="100"/>
              <w:left w:type="dxa" w:w="120"/>
              <w:bottom w:type="dxa" w:w="100"/>
              <w:right w:type="dxa" w:w="120"/>
            </w:tcMar>
            <w:vAlign w:val="top"/>
          </w:tcPr>
          <w:p>
            <w:pPr>
              <w:spacing w:after="60" w:before="60"/>
              <w:jc w:val="left"/>
            </w:pPr>
            <w:r>
              <w:rPr>
                <w:rFonts w:ascii="Calibri" w:cs="Calibri" w:eastAsia="Calibri" w:hAnsi="Calibri"/>
                <w:b/>
                <w:bCs/>
                <w:color w:val="0D1E3A"/>
                <w:sz w:val="19"/>
                <w:szCs w:val="19"/>
              </w:rPr>
              <w:t xml:space="preserve">Architecture Layer</w:t>
            </w:r>
          </w:p>
        </w:tc>
        <w:tc>
          <w:tcPr>
            <w:tcW w:type="dxa" w:w="7546"/>
            <w:tcBorders>
              <w:top w:val="single" w:color="D0D4DC" w:sz="4"/>
              <w:left w:val="single" w:color="D0D4DC" w:sz="4"/>
              <w:bottom w:val="single" w:color="D0D4DC" w:sz="4"/>
              <w:right w:val="single" w:color="D0D4DC" w:sz="4"/>
            </w:tcBorders>
            <w:shd w:fill="FFFFFF" w:val="clear"/>
            <w:tcMar>
              <w:top w:type="dxa" w:w="100"/>
              <w:left w:type="dxa" w:w="120"/>
              <w:bottom w:type="dxa" w:w="100"/>
              <w:right w:type="dxa" w:w="120"/>
            </w:tcMar>
            <w:vAlign w:val="top"/>
          </w:tcPr>
          <w:p>
            <w:pPr>
              <w:spacing w:after="60" w:before="60"/>
              <w:jc w:val="left"/>
            </w:pPr>
            <w:r>
              <w:rPr>
                <w:rFonts w:ascii="Calibri" w:cs="Calibri" w:eastAsia="Calibri" w:hAnsi="Calibri"/>
                <w:color w:val="1A1A2E"/>
                <w:sz w:val="19"/>
                <w:szCs w:val="19"/>
              </w:rPr>
              <w:t xml:space="preserve">Layer 1 — Digital Assets Consolidated Tape</w:t>
            </w:r>
          </w:p>
        </w:tc>
      </w:tr>
      <w:tr>
        <w:tc>
          <w:tcPr>
            <w:tcW w:type="dxa" w:w="2200"/>
            <w:tcBorders>
              <w:top w:val="single" w:color="D0D4DC" w:sz="4"/>
              <w:left w:val="single" w:color="D0D4DC" w:sz="4"/>
              <w:bottom w:val="single" w:color="D0D4DC" w:sz="4"/>
              <w:right w:val="single" w:color="D0D4DC" w:sz="4"/>
            </w:tcBorders>
            <w:shd w:fill="EEF2F8" w:val="clear"/>
            <w:tcMar>
              <w:top w:type="dxa" w:w="100"/>
              <w:left w:type="dxa" w:w="120"/>
              <w:bottom w:type="dxa" w:w="100"/>
              <w:right w:type="dxa" w:w="120"/>
            </w:tcMar>
            <w:vAlign w:val="top"/>
          </w:tcPr>
          <w:p>
            <w:pPr>
              <w:spacing w:after="60" w:before="60"/>
              <w:jc w:val="left"/>
            </w:pPr>
            <w:r>
              <w:rPr>
                <w:rFonts w:ascii="Calibri" w:cs="Calibri" w:eastAsia="Calibri" w:hAnsi="Calibri"/>
                <w:b/>
                <w:bCs/>
                <w:color w:val="0D1E3A"/>
                <w:sz w:val="19"/>
                <w:szCs w:val="19"/>
              </w:rPr>
              <w:t xml:space="preserve">Unique Innovation</w:t>
            </w:r>
          </w:p>
        </w:tc>
        <w:tc>
          <w:tcPr>
            <w:tcW w:type="dxa" w:w="7546"/>
            <w:tcBorders>
              <w:top w:val="single" w:color="D0D4DC" w:sz="4"/>
              <w:left w:val="single" w:color="D0D4DC" w:sz="4"/>
              <w:bottom w:val="single" w:color="D0D4DC" w:sz="4"/>
              <w:right w:val="single" w:color="D0D4DC" w:sz="4"/>
            </w:tcBorders>
            <w:shd w:fill="FFFFFF" w:val="clear"/>
            <w:tcMar>
              <w:top w:type="dxa" w:w="100"/>
              <w:left w:type="dxa" w:w="120"/>
              <w:bottom w:type="dxa" w:w="100"/>
              <w:right w:type="dxa" w:w="120"/>
            </w:tcMar>
            <w:vAlign w:val="top"/>
          </w:tcPr>
          <w:p>
            <w:pPr>
              <w:spacing w:after="60" w:before="60"/>
              <w:jc w:val="left"/>
            </w:pPr>
            <w:r>
              <w:rPr>
                <w:rFonts w:ascii="Calibri" w:cs="Calibri" w:eastAsia="Calibri" w:hAnsi="Calibri"/>
                <w:color w:val="1A1A2E"/>
                <w:sz w:val="19"/>
                <w:szCs w:val="19"/>
              </w:rPr>
              <w:t xml:space="preserve">Liquidity Tape Reference (LTR) — canonical event schema with no market equivalent</w:t>
            </w:r>
          </w:p>
        </w:tc>
      </w:tr>
      <w:tr>
        <w:tc>
          <w:tcPr>
            <w:tcW w:type="dxa" w:w="2200"/>
            <w:tcBorders>
              <w:top w:val="single" w:color="D0D4DC" w:sz="4"/>
              <w:left w:val="single" w:color="D0D4DC" w:sz="4"/>
              <w:bottom w:val="single" w:color="D0D4DC" w:sz="4"/>
              <w:right w:val="single" w:color="D0D4DC" w:sz="4"/>
            </w:tcBorders>
            <w:shd w:fill="EEF2F8" w:val="clear"/>
            <w:tcMar>
              <w:top w:type="dxa" w:w="100"/>
              <w:left w:type="dxa" w:w="120"/>
              <w:bottom w:type="dxa" w:w="100"/>
              <w:right w:type="dxa" w:w="120"/>
            </w:tcMar>
            <w:vAlign w:val="top"/>
          </w:tcPr>
          <w:p>
            <w:pPr>
              <w:spacing w:after="60" w:before="60"/>
              <w:jc w:val="left"/>
            </w:pPr>
            <w:r>
              <w:rPr>
                <w:rFonts w:ascii="Calibri" w:cs="Calibri" w:eastAsia="Calibri" w:hAnsi="Calibri"/>
                <w:b/>
                <w:bCs/>
                <w:color w:val="0D1E3A"/>
                <w:sz w:val="19"/>
                <w:szCs w:val="19"/>
              </w:rPr>
              <w:t xml:space="preserve">Classification</w:t>
            </w:r>
          </w:p>
        </w:tc>
        <w:tc>
          <w:tcPr>
            <w:tcW w:type="dxa" w:w="7546"/>
            <w:tcBorders>
              <w:top w:val="single" w:color="D0D4DC" w:sz="4"/>
              <w:left w:val="single" w:color="D0D4DC" w:sz="4"/>
              <w:bottom w:val="single" w:color="D0D4DC" w:sz="4"/>
              <w:right w:val="single" w:color="D0D4DC" w:sz="4"/>
            </w:tcBorders>
            <w:shd w:fill="FFFFFF" w:val="clear"/>
            <w:tcMar>
              <w:top w:type="dxa" w:w="100"/>
              <w:left w:type="dxa" w:w="120"/>
              <w:bottom w:type="dxa" w:w="100"/>
              <w:right w:type="dxa" w:w="120"/>
            </w:tcMar>
            <w:vAlign w:val="top"/>
          </w:tcPr>
          <w:p>
            <w:pPr>
              <w:spacing w:after="60" w:before="60"/>
              <w:jc w:val="left"/>
            </w:pPr>
            <w:r>
              <w:rPr>
                <w:rFonts w:ascii="Calibri" w:cs="Calibri" w:eastAsia="Calibri" w:hAnsi="Calibri"/>
                <w:color w:val="1A1A2E"/>
                <w:sz w:val="19"/>
                <w:szCs w:val="19"/>
              </w:rPr>
              <w:t xml:space="preserve">CONFIDENTIAL</w:t>
            </w:r>
          </w:p>
        </w:tc>
      </w:tr>
    </w:tbl>
    <w:p>
      <w:pPr>
        <w:spacing w:after="300" w:before="300"/>
      </w:pPr>
    </w:p>
    <w:p>
      <w:pPr>
        <w:spacing w:after="40" w:before="40"/>
        <w:jc w:val="left"/>
      </w:pPr>
      <w:r>
        <w:rPr>
          <w:rFonts w:ascii="Calibri" w:cs="Calibri" w:eastAsia="Calibri" w:hAnsi="Calibri"/>
          <w:color w:val="6B7280"/>
          <w:sz w:val="20"/>
          <w:szCs w:val="20"/>
        </w:rPr>
        <w:t xml:space="preserve">DACT defines the centralised, venue-agnostic, interoperable record of observable digital asset liquidity. It is the sole ingestion point and immutable tape of the Stratalink Liquidity Truth Stack — the foundation on which PoLi™ attestation and STRATA® AI intelligence are built.</w:t>
      </w:r>
    </w:p>
    <w:p>
      <w:pPr>
        <w:spacing w:after="300" w:before="3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B4F8A" w:sz="4"/>
              <w:left w:val="single" w:color="1B4F8A" w:sz="4"/>
              <w:bottom w:val="single" w:color="1B4F8A" w:sz="4"/>
              <w:right w:val="single" w:color="1B4F8A" w:sz="4"/>
            </w:tcBorders>
            <w:shd w:fill="EEF2F8" w:val="clear"/>
            <w:tcMar>
              <w:top w:type="dxa" w:w="100"/>
              <w:left w:type="dxa" w:w="120"/>
              <w:bottom w:type="dxa" w:w="100"/>
              <w:right w:type="dxa" w:w="120"/>
            </w:tcMar>
            <w:vAlign w:val="top"/>
          </w:tcPr>
          <w:p>
            <w:pPr>
              <w:spacing w:after="60" w:before="60"/>
              <w:jc w:val="left"/>
            </w:pPr>
            <w:r>
              <w:rPr>
                <w:rFonts w:ascii="Calibri" w:cs="Calibri" w:eastAsia="Calibri" w:hAnsi="Calibri"/>
                <w:b/>
                <w:bCs/>
                <w:color w:val="0D1E3A"/>
                <w:sz w:val="20"/>
                <w:szCs w:val="20"/>
              </w:rPr>
              <w:t xml:space="preserve">Normative vs Informative</w:t>
            </w:r>
          </w:p>
          <w:p>
            <w:pPr>
              <w:spacing w:after="50" w:before="50"/>
            </w:pPr>
          </w:p>
          <w:p>
            <w:pPr>
              <w:spacing w:after="60" w:before="60"/>
              <w:jc w:val="left"/>
            </w:pPr>
            <w:r>
              <w:rPr>
                <w:rFonts w:ascii="Calibri" w:cs="Calibri" w:eastAsia="Calibri" w:hAnsi="Calibri"/>
                <w:color w:val="1A1A2E"/>
                <w:sz w:val="19"/>
                <w:szCs w:val="19"/>
              </w:rPr>
              <w:t xml:space="preserve">This document follows ISO-style separation between normative and informative content. Normative statements define mandatory requirements for conformance. They use the keywords MUST, SHALL, SHOULD, and MAY as defined in standards practice. Implementations claiming conformance to DACT-STD-1.0 MUST satisfy all normative requirements.</w:t>
            </w:r>
          </w:p>
          <w:p>
            <w:pPr>
              <w:spacing w:after="50" w:before="50"/>
            </w:pPr>
          </w:p>
          <w:p>
            <w:pPr>
              <w:spacing w:after="60" w:before="60"/>
              <w:jc w:val="left"/>
            </w:pPr>
            <w:r>
              <w:rPr>
                <w:rFonts w:ascii="Calibri" w:cs="Calibri" w:eastAsia="Calibri" w:hAnsi="Calibri"/>
                <w:b/>
                <w:bCs/>
                <w:color w:val="0D1E3A"/>
                <w:sz w:val="19"/>
                <w:szCs w:val="19"/>
              </w:rPr>
              <w:t xml:space="preserve">Normative sections: </w:t>
            </w:r>
            <w:r>
              <w:rPr>
                <w:rFonts w:ascii="Calibri" w:cs="Calibri" w:eastAsia="Calibri" w:hAnsi="Calibri"/>
                <w:color w:val="1A1A2E"/>
                <w:sz w:val="19"/>
                <w:szCs w:val="19"/>
              </w:rPr>
              <w:t xml:space="preserve">Sections 4–9 (LTR Canonical Schema, Event Model, Aggregation &amp; Normalisation, Market Venue Coverage, Non-Contamination Rule, Output Contract &amp; Determinism) and Section 12.</w:t>
            </w:r>
          </w:p>
          <w:p>
            <w:pPr>
              <w:spacing w:after="50" w:before="50"/>
            </w:pPr>
          </w:p>
          <w:p>
            <w:pPr>
              <w:spacing w:after="60" w:before="60"/>
              <w:jc w:val="left"/>
            </w:pPr>
            <w:r>
              <w:rPr>
                <w:rFonts w:ascii="Calibri" w:cs="Calibri" w:eastAsia="Calibri" w:hAnsi="Calibri"/>
                <w:b/>
                <w:bCs/>
                <w:color w:val="6B7280"/>
                <w:sz w:val="19"/>
                <w:szCs w:val="19"/>
              </w:rPr>
              <w:t xml:space="preserve">Informative sections: </w:t>
            </w:r>
            <w:r>
              <w:rPr>
                <w:rFonts w:ascii="Calibri" w:cs="Calibri" w:eastAsia="Calibri" w:hAnsi="Calibri"/>
                <w:color w:val="1A1A2E"/>
                <w:sz w:val="19"/>
                <w:szCs w:val="19"/>
              </w:rPr>
              <w:t xml:space="preserve">Sections 1–3, 10–11, 13–14, and Annexes A–B.</w:t>
            </w:r>
          </w:p>
        </w:tc>
      </w:tr>
    </w:tbl>
    <w:p>
      <w:pPr>
        <w:spacing w:after="200" w:before="200"/>
      </w:pPr>
    </w:p>
    <w:p>
      <w:r>
        <w:br w:type="page"/>
      </w:r>
    </w:p>
    <w:p>
      <w:pPr>
        <w:pStyle w:val="Heading1"/>
        <w:pBdr>
          <w:bottom w:val="single" w:color="1B4F8A" w:sz="8" w:space="2"/>
        </w:pBdr>
        <w:spacing w:after="120" w:before="280"/>
      </w:pPr>
      <w:r>
        <w:rPr>
          <w:rFonts w:ascii="Calibri" w:cs="Calibri" w:eastAsia="Calibri" w:hAnsi="Calibri"/>
          <w:b/>
          <w:bCs/>
          <w:color w:val="0D1E3A"/>
          <w:sz w:val="28"/>
          <w:szCs w:val="28"/>
        </w:rPr>
        <w:t xml:space="preserve">Canonical Architecture Overview</w:t>
      </w:r>
    </w:p>
    <w:p>
      <w:pPr>
        <w:spacing w:after="80" w:before="80"/>
        <w:jc w:val="left"/>
      </w:pPr>
      <w:r>
        <w:rPr>
          <w:rFonts w:ascii="Calibri" w:cs="Calibri" w:eastAsia="Calibri" w:hAnsi="Calibri"/>
          <w:color w:val="000000"/>
          <w:sz w:val="20"/>
          <w:szCs w:val="20"/>
        </w:rPr>
        <w:t xml:space="preserve">DACT is the immutable, append-only tape at the base of the Stratalink Liquidity Truth Stack. It is the sole point of ingestion for venue data — no external source bypasses it. All downstream layers (STRATA® AI, PoLi™, Liquidity Oracle AI, RCL) consume DACT events. The entire stack operates under the governance constraints of Layer 0 (LTF Governance &amp; Control). DACT itself does not score, interpret, or modify the data it records.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400"/>
        <w:gridCol w:w="2000"/>
        <w:gridCol w:w="400"/>
        <w:gridCol w:w="1600"/>
        <w:gridCol w:w="400"/>
        <w:gridCol w:w="1600"/>
        <w:gridCol w:w="400"/>
        <w:gridCol w:w="1146"/>
      </w:tblGrid>
      <w:tr>
        <w:tc>
          <w:tcPr>
            <w:tcW w:type="dxa" w:w="1800"/>
            <w:tcBorders>
              <w:top w:val="none" w:color="FFFFFF" w:sz="0"/>
              <w:left w:val="none" w:color="FFFFFF" w:sz="0"/>
              <w:bottom w:val="none" w:color="FFFFFF" w:sz="0"/>
              <w:right w:val="none" w:color="FFFFFF" w:sz="0"/>
            </w:tcBorders>
            <w:shd w:fill="0D1E3A" w:val="clear"/>
            <w:tcMar>
              <w:top w:type="dxa" w:w="100"/>
              <w:left w:type="dxa" w:w="120"/>
              <w:bottom w:type="dxa" w:w="100"/>
              <w:right w:type="dxa" w:w="120"/>
            </w:tcMar>
            <w:vAlign w:val="center"/>
          </w:tcPr>
          <w:p>
            <w:pPr>
              <w:spacing w:after="60" w:before="60"/>
              <w:jc w:val="center"/>
            </w:pPr>
            <w:r>
              <w:rPr>
                <w:rFonts w:ascii="Calibri" w:cs="Calibri" w:eastAsia="Calibri" w:hAnsi="Calibri"/>
                <w:b/>
                <w:bCs/>
                <w:color w:val="FFFFFF"/>
                <w:sz w:val="18"/>
                <w:szCs w:val="18"/>
              </w:rPr>
              <w:t xml:space="preserve">Market Venues</w:t>
            </w:r>
          </w:p>
          <w:p>
            <w:pPr>
              <w:spacing w:after="60" w:before="60"/>
              <w:jc w:val="center"/>
            </w:pPr>
            <w:r>
              <w:rPr>
                <w:rFonts w:ascii="Calibri" w:cs="Calibri" w:eastAsia="Calibri" w:hAnsi="Calibri"/>
                <w:color w:val="F2F4F7"/>
                <w:sz w:val="15"/>
                <w:szCs w:val="15"/>
              </w:rPr>
              <w:t xml:space="preserve">CEX / DEX / RFQ / RWA</w:t>
            </w:r>
          </w:p>
        </w:tc>
        <w:tc>
          <w:tcPr>
            <w:tcW w:type="dxa" w:w="40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center"/>
          </w:tcPr>
          <w:p>
            <w:pPr>
              <w:spacing w:after="60" w:before="60"/>
              <w:jc w:val="center"/>
            </w:pPr>
            <w:r>
              <w:rPr>
                <w:rFonts w:ascii="Calibri" w:cs="Calibri" w:eastAsia="Calibri" w:hAnsi="Calibri"/>
                <w:b/>
                <w:bCs/>
                <w:color w:val="1B4F8A"/>
                <w:sz w:val="24"/>
                <w:szCs w:val="24"/>
              </w:rPr>
              <w:t xml:space="preserve">→</w:t>
            </w:r>
          </w:p>
        </w:tc>
        <w:tc>
          <w:tcPr>
            <w:tcW w:type="dxa" w:w="2000"/>
            <w:tcBorders>
              <w:top w:val="none" w:color="FFFFFF" w:sz="0"/>
              <w:left w:val="none" w:color="FFFFFF" w:sz="0"/>
              <w:bottom w:val="none" w:color="FFFFFF" w:sz="0"/>
              <w:right w:val="none" w:color="FFFFFF" w:sz="0"/>
            </w:tcBorders>
            <w:shd w:fill="1A7A8A" w:val="clear"/>
            <w:tcMar>
              <w:top w:type="dxa" w:w="100"/>
              <w:left w:type="dxa" w:w="120"/>
              <w:bottom w:type="dxa" w:w="100"/>
              <w:right w:type="dxa" w:w="120"/>
            </w:tcMar>
            <w:vAlign w:val="center"/>
          </w:tcPr>
          <w:p>
            <w:pPr>
              <w:spacing w:after="60" w:before="60"/>
              <w:jc w:val="center"/>
            </w:pPr>
            <w:r>
              <w:rPr>
                <w:rFonts w:ascii="Calibri" w:cs="Calibri" w:eastAsia="Calibri" w:hAnsi="Calibri"/>
                <w:b/>
                <w:bCs/>
                <w:color w:val="FFFFFF"/>
                <w:sz w:val="18"/>
                <w:szCs w:val="18"/>
              </w:rPr>
              <w:t xml:space="preserve">DACT (Layer 1)</w:t>
            </w:r>
          </w:p>
          <w:p>
            <w:pPr>
              <w:spacing w:after="60" w:before="60"/>
              <w:jc w:val="center"/>
            </w:pPr>
            <w:r>
              <w:rPr>
                <w:rFonts w:ascii="Calibri" w:cs="Calibri" w:eastAsia="Calibri" w:hAnsi="Calibri"/>
                <w:color w:val="F2F4F7"/>
                <w:sz w:val="15"/>
                <w:szCs w:val="15"/>
              </w:rPr>
              <w:t xml:space="preserve">Immutable Tape / LTR</w:t>
            </w:r>
          </w:p>
        </w:tc>
        <w:tc>
          <w:tcPr>
            <w:tcW w:type="dxa" w:w="40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center"/>
          </w:tcPr>
          <w:p>
            <w:pPr>
              <w:spacing w:after="60" w:before="60"/>
              <w:jc w:val="center"/>
            </w:pPr>
            <w:r>
              <w:rPr>
                <w:rFonts w:ascii="Calibri" w:cs="Calibri" w:eastAsia="Calibri" w:hAnsi="Calibri"/>
                <w:b/>
                <w:bCs/>
                <w:color w:val="1B4F8A"/>
                <w:sz w:val="24"/>
                <w:szCs w:val="24"/>
              </w:rPr>
              <w:t xml:space="preserve">→</w:t>
            </w:r>
          </w:p>
        </w:tc>
        <w:tc>
          <w:tcPr>
            <w:tcW w:type="dxa" w:w="1600"/>
            <w:tcBorders>
              <w:top w:val="none" w:color="FFFFFF" w:sz="0"/>
              <w:left w:val="none" w:color="FFFFFF" w:sz="0"/>
              <w:bottom w:val="none" w:color="FFFFFF" w:sz="0"/>
              <w:right w:val="none" w:color="FFFFFF" w:sz="0"/>
            </w:tcBorders>
            <w:shd w:fill="1B4F8A" w:val="clear"/>
            <w:tcMar>
              <w:top w:type="dxa" w:w="100"/>
              <w:left w:type="dxa" w:w="120"/>
              <w:bottom w:type="dxa" w:w="100"/>
              <w:right w:type="dxa" w:w="120"/>
            </w:tcMar>
            <w:vAlign w:val="center"/>
          </w:tcPr>
          <w:p>
            <w:pPr>
              <w:spacing w:after="60" w:before="60"/>
              <w:jc w:val="center"/>
            </w:pPr>
            <w:r>
              <w:rPr>
                <w:rFonts w:ascii="Calibri" w:cs="Calibri" w:eastAsia="Calibri" w:hAnsi="Calibri"/>
                <w:b/>
                <w:bCs/>
                <w:color w:val="FFFFFF"/>
                <w:sz w:val="18"/>
                <w:szCs w:val="18"/>
              </w:rPr>
              <w:t xml:space="preserve">STRATA® AI</w:t>
            </w:r>
          </w:p>
          <w:p>
            <w:pPr>
              <w:spacing w:after="60" w:before="60"/>
              <w:jc w:val="center"/>
            </w:pPr>
            <w:r>
              <w:rPr>
                <w:rFonts w:ascii="Calibri" w:cs="Calibri" w:eastAsia="Calibri" w:hAnsi="Calibri"/>
                <w:color w:val="F2F4F7"/>
                <w:sz w:val="15"/>
                <w:szCs w:val="15"/>
              </w:rPr>
              <w:t xml:space="preserve">Layer 2</w:t>
            </w:r>
          </w:p>
        </w:tc>
        <w:tc>
          <w:tcPr>
            <w:tcW w:type="dxa" w:w="40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center"/>
          </w:tcPr>
          <w:p>
            <w:pPr>
              <w:spacing w:after="60" w:before="60"/>
              <w:jc w:val="center"/>
            </w:pPr>
            <w:r>
              <w:rPr>
                <w:rFonts w:ascii="Calibri" w:cs="Calibri" w:eastAsia="Calibri" w:hAnsi="Calibri"/>
                <w:b/>
                <w:bCs/>
                <w:color w:val="1B4F8A"/>
                <w:sz w:val="24"/>
                <w:szCs w:val="24"/>
              </w:rPr>
              <w:t xml:space="preserve">→</w:t>
            </w:r>
          </w:p>
        </w:tc>
        <w:tc>
          <w:tcPr>
            <w:tcW w:type="dxa" w:w="1600"/>
            <w:tcBorders>
              <w:top w:val="none" w:color="FFFFFF" w:sz="0"/>
              <w:left w:val="none" w:color="FFFFFF" w:sz="0"/>
              <w:bottom w:val="none" w:color="FFFFFF" w:sz="0"/>
              <w:right w:val="none" w:color="FFFFFF" w:sz="0"/>
            </w:tcBorders>
            <w:shd w:fill="0D1E3A" w:val="clear"/>
            <w:tcMar>
              <w:top w:type="dxa" w:w="100"/>
              <w:left w:type="dxa" w:w="120"/>
              <w:bottom w:type="dxa" w:w="100"/>
              <w:right w:type="dxa" w:w="120"/>
            </w:tcMar>
            <w:vAlign w:val="center"/>
          </w:tcPr>
          <w:p>
            <w:pPr>
              <w:spacing w:after="60" w:before="60"/>
              <w:jc w:val="center"/>
            </w:pPr>
            <w:r>
              <w:rPr>
                <w:rFonts w:ascii="Calibri" w:cs="Calibri" w:eastAsia="Calibri" w:hAnsi="Calibri"/>
                <w:b/>
                <w:bCs/>
                <w:color w:val="FFFFFF"/>
                <w:sz w:val="18"/>
                <w:szCs w:val="18"/>
              </w:rPr>
              <w:t xml:space="preserve">PoLi™</w:t>
            </w:r>
          </w:p>
          <w:p>
            <w:pPr>
              <w:spacing w:after="60" w:before="60"/>
              <w:jc w:val="center"/>
            </w:pPr>
            <w:r>
              <w:rPr>
                <w:rFonts w:ascii="Calibri" w:cs="Calibri" w:eastAsia="Calibri" w:hAnsi="Calibri"/>
                <w:color w:val="F2F4F7"/>
                <w:sz w:val="15"/>
                <w:szCs w:val="15"/>
              </w:rPr>
              <w:t xml:space="preserve">Layer 3</w:t>
            </w:r>
          </w:p>
        </w:tc>
        <w:tc>
          <w:tcPr>
            <w:tcW w:type="dxa" w:w="40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center"/>
          </w:tcPr>
          <w:p>
            <w:pPr>
              <w:spacing w:after="60" w:before="60"/>
              <w:jc w:val="center"/>
            </w:pPr>
            <w:r>
              <w:rPr>
                <w:rFonts w:ascii="Calibri" w:cs="Calibri" w:eastAsia="Calibri" w:hAnsi="Calibri"/>
                <w:color w:val="D0D4DC"/>
                <w:sz w:val="20"/>
                <w:szCs w:val="20"/>
              </w:rPr>
              <w:t xml:space="preserve">→···</w:t>
            </w:r>
          </w:p>
        </w:tc>
        <w:tc>
          <w:tcPr>
            <w:tcW w:type="dxa" w:w="1146"/>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tc>
      </w:tr>
    </w:tbl>
    <w:p>
      <w:pPr>
        <w:spacing w:after="80" w:before="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c>
          <w:tcPr>
            <w:tcW w:type="dxa" w:w="2200"/>
            <w:tcBorders>
              <w:top w:val="none" w:color="FFFFFF" w:sz="0"/>
              <w:left w:val="none" w:color="FFFFFF" w:sz="0"/>
              <w:bottom w:val="none" w:color="FFFFFF" w:sz="0"/>
              <w:right w:val="none" w:color="FFFFFF" w:sz="0"/>
            </w:tcBorders>
            <w:shd w:fill="1A1A2E" w:val="clear"/>
            <w:tcMar>
              <w:top w:type="dxa" w:w="100"/>
              <w:left w:type="dxa" w:w="120"/>
              <w:bottom w:type="dxa" w:w="100"/>
              <w:right w:type="dxa" w:w="120"/>
            </w:tcMar>
            <w:vAlign w:val="center"/>
          </w:tcPr>
          <w:p>
            <w:pPr>
              <w:spacing w:after="60" w:before="60"/>
              <w:jc w:val="center"/>
            </w:pPr>
            <w:r>
              <w:rPr>
                <w:rFonts w:ascii="Calibri" w:cs="Calibri" w:eastAsia="Calibri" w:hAnsi="Calibri"/>
                <w:b/>
                <w:bCs/>
                <w:color w:val="FFFFFF"/>
                <w:sz w:val="20"/>
                <w:szCs w:val="20"/>
              </w:rPr>
              <w:t xml:space="preserve">Layer 0</w:t>
            </w:r>
          </w:p>
          <w:p>
            <w:pPr>
              <w:spacing w:after="60" w:before="60"/>
              <w:jc w:val="center"/>
            </w:pPr>
            <w:r>
              <w:rPr>
                <w:rFonts w:ascii="Calibri" w:cs="Calibri" w:eastAsia="Calibri" w:hAnsi="Calibri"/>
                <w:b/>
                <w:bCs/>
                <w:color w:val="C9A84C"/>
                <w:sz w:val="16"/>
                <w:szCs w:val="16"/>
              </w:rPr>
              <w:t xml:space="preserve">LTF Governance &amp;
Control</w:t>
            </w:r>
          </w:p>
        </w:tc>
        <w:tc>
          <w:tcPr>
            <w:tcW w:type="dxa" w:w="7546"/>
            <w:tcBorders>
              <w:top w:val="none" w:color="FFFFFF" w:sz="0"/>
              <w:left w:val="none" w:color="FFFFFF" w:sz="0"/>
              <w:bottom w:val="none" w:color="FFFFFF" w:sz="0"/>
              <w:right w:val="none" w:color="FFFFFF" w:sz="0"/>
            </w:tcBorders>
            <w:shd w:fill="EEF2F8" w:val="clear"/>
            <w:tcMar>
              <w:top w:type="dxa" w:w="100"/>
              <w:left w:type="dxa" w:w="120"/>
              <w:bottom w:type="dxa" w:w="100"/>
              <w:right w:type="dxa" w:w="120"/>
            </w:tcMar>
            <w:vAlign w:val="center"/>
          </w:tcPr>
          <w:p>
            <w:pPr>
              <w:spacing w:after="20" w:before="40"/>
              <w:jc w:val="left"/>
            </w:pPr>
            <w:r>
              <w:rPr>
                <w:rFonts w:ascii="Calibri" w:cs="Calibri" w:eastAsia="Calibri" w:hAnsi="Calibri"/>
                <w:b/>
                <w:bCs/>
                <w:color w:val="0D1E3A"/>
                <w:sz w:val="19"/>
                <w:szCs w:val="19"/>
              </w:rPr>
              <w:t xml:space="preserve">Governance Spine — governs all layers orthogonally. </w:t>
            </w:r>
            <w:r>
              <w:rPr>
                <w:rFonts w:ascii="Calibri" w:cs="Calibri" w:eastAsia="Calibri" w:hAnsi="Calibri"/>
                <w:i/>
                <w:iCs/>
                <w:color w:val="6B7280"/>
                <w:sz w:val="19"/>
                <w:szCs w:val="19"/>
              </w:rPr>
              <w:t xml:space="preserve">Does not process market data.</w:t>
            </w:r>
          </w:p>
          <w:p>
            <w:pPr>
              <w:spacing w:after="40" w:before="60"/>
              <w:jc w:val="left"/>
            </w:pPr>
            <w:r>
              <w:rPr>
                <w:rFonts w:ascii="Calibri" w:cs="Calibri" w:eastAsia="Calibri" w:hAnsi="Calibri"/>
                <w:b/>
                <w:bCs/>
                <w:color w:val="0D1E3A"/>
                <w:sz w:val="18"/>
                <w:szCs w:val="18"/>
              </w:rPr>
              <w:t xml:space="preserve">DSU Declarations  ·  </w:t>
            </w:r>
            <w:r>
              <w:rPr>
                <w:rFonts w:ascii="Calibri" w:cs="Calibri" w:eastAsia="Calibri" w:hAnsi="Calibri"/>
                <w:b/>
                <w:bCs/>
                <w:color w:val="0D1E3A"/>
                <w:sz w:val="18"/>
                <w:szCs w:val="18"/>
              </w:rPr>
              <w:t xml:space="preserve">Methodology Governance  ·  </w:t>
            </w:r>
            <w:r>
              <w:rPr>
                <w:rFonts w:ascii="Calibri" w:cs="Calibri" w:eastAsia="Calibri" w:hAnsi="Calibri"/>
                <w:b/>
                <w:bCs/>
                <w:color w:val="0D1E3A"/>
                <w:sz w:val="18"/>
                <w:szCs w:val="18"/>
              </w:rPr>
              <w:t xml:space="preserve">Publication Policies  ·  </w:t>
            </w:r>
            <w:r>
              <w:rPr>
                <w:rFonts w:ascii="Calibri" w:cs="Calibri" w:eastAsia="Calibri" w:hAnsi="Calibri"/>
                <w:b/>
                <w:bCs/>
                <w:color w:val="0D1E3A"/>
                <w:sz w:val="18"/>
                <w:szCs w:val="18"/>
              </w:rPr>
              <w:t xml:space="preserve">Evidence Ladder Standards  ·  </w:t>
            </w:r>
            <w:r>
              <w:rPr>
                <w:rFonts w:ascii="Calibri" w:cs="Calibri" w:eastAsia="Calibri" w:hAnsi="Calibri"/>
                <w:b/>
                <w:bCs/>
                <w:color w:val="0D1E3A"/>
                <w:sz w:val="18"/>
                <w:szCs w:val="18"/>
              </w:rPr>
              <w:t xml:space="preserve">TTL Parameters  ·  </w:t>
            </w:r>
            <w:r>
              <w:rPr>
                <w:rFonts w:ascii="Calibri" w:cs="Calibri" w:eastAsia="Calibri" w:hAnsi="Calibri"/>
                <w:b/>
                <w:bCs/>
                <w:color w:val="0D1E3A"/>
                <w:sz w:val="18"/>
                <w:szCs w:val="18"/>
              </w:rPr>
              <w:t xml:space="preserve">Signing &amp; Key Governance  ·  </w:t>
            </w:r>
            <w:r>
              <w:rPr>
                <w:rFonts w:ascii="Calibri" w:cs="Calibri" w:eastAsia="Calibri" w:hAnsi="Calibri"/>
                <w:b/>
                <w:bCs/>
                <w:color w:val="0D1E3A"/>
                <w:sz w:val="18"/>
                <w:szCs w:val="18"/>
              </w:rPr>
              <w:t xml:space="preserve">Audit &amp; Compliance Configuration</w:t>
            </w:r>
          </w:p>
        </w:tc>
      </w:tr>
    </w:tbl>
    <w:p>
      <w:pPr>
        <w:spacing w:after="150" w:before="15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00"/>
        <w:gridCol w:w="8346"/>
      </w:tblGrid>
      <w:tr>
        <w:tc>
          <w:tcPr>
            <w:tcW w:type="dxa" w:w="1400"/>
            <w:tcBorders>
              <w:top w:val="none" w:color="FFFFFF" w:sz="0"/>
              <w:left w:val="none" w:color="FFFFFF" w:sz="0"/>
              <w:bottom w:val="none" w:color="FFFFFF" w:sz="0"/>
              <w:right w:val="none" w:color="FFFFFF" w:sz="0"/>
            </w:tcBorders>
            <w:shd w:fill="0D1E3A" w:val="clear"/>
            <w:tcMar>
              <w:top w:type="dxa" w:w="100"/>
              <w:left w:type="dxa" w:w="120"/>
              <w:bottom w:type="dxa" w:w="100"/>
              <w:right w:type="dxa" w:w="120"/>
            </w:tcMar>
            <w:vAlign w:val="top"/>
          </w:tcPr>
          <w:p>
            <w:pPr>
              <w:spacing w:after="60" w:before="60"/>
              <w:jc w:val="left"/>
            </w:pPr>
            <w:r>
              <w:rPr>
                <w:rFonts w:ascii="Calibri" w:cs="Calibri" w:eastAsia="Calibri" w:hAnsi="Calibri"/>
                <w:b/>
                <w:bCs/>
                <w:color w:val="FFFFFF"/>
                <w:sz w:val="18"/>
                <w:szCs w:val="18"/>
              </w:rPr>
              <w:t xml:space="preserve">NON-CONTAMINATION RULE (NORMATIVE)</w:t>
            </w:r>
          </w:p>
        </w:tc>
        <w:tc>
          <w:tcPr>
            <w:tcW w:type="dxa" w:w="8346"/>
            <w:tcBorders>
              <w:top w:val="none" w:color="FFFFFF" w:sz="0"/>
              <w:left w:val="none" w:color="FFFFFF" w:sz="0"/>
              <w:bottom w:val="none" w:color="FFFFFF" w:sz="0"/>
              <w:right w:val="none" w:color="FFFFFF" w:sz="0"/>
            </w:tcBorders>
            <w:shd w:fill="E8EEF5" w:val="clear"/>
            <w:tcMar>
              <w:top w:type="dxa" w:w="100"/>
              <w:left w:type="dxa" w:w="120"/>
              <w:bottom w:type="dxa" w:w="100"/>
              <w:right w:type="dxa" w:w="120"/>
            </w:tcMar>
            <w:vAlign w:val="top"/>
          </w:tcPr>
          <w:p>
            <w:pPr>
              <w:spacing w:after="60" w:before="60"/>
              <w:jc w:val="left"/>
            </w:pPr>
            <w:r>
              <w:rPr>
                <w:rFonts w:ascii="Calibri" w:cs="Calibri" w:eastAsia="Calibri" w:hAnsi="Calibri"/>
                <w:color w:val="1A1A2E"/>
                <w:sz w:val="19"/>
                <w:szCs w:val="19"/>
              </w:rPr>
              <w:t xml:space="preserve">DACT MUST NOT score events, weight venues, aggregate risk, apply thresholds, trigger alerts, or modify payloads based on interpretation.</w:t>
            </w:r>
          </w:p>
          <w:p>
            <w:pPr>
              <w:spacing w:after="60" w:before="60"/>
              <w:jc w:val="left"/>
            </w:pPr>
            <w:r>
              <w:rPr>
                <w:rFonts w:ascii="Calibri" w:cs="Calibri" w:eastAsia="Calibri" w:hAnsi="Calibri"/>
                <w:color w:val="1A1A2E"/>
                <w:sz w:val="19"/>
                <w:szCs w:val="19"/>
              </w:rPr>
              <w:t xml:space="preserve"/>
            </w:r>
          </w:p>
          <w:p>
            <w:pPr>
              <w:spacing w:after="60" w:before="60"/>
              <w:jc w:val="left"/>
            </w:pPr>
            <w:r>
              <w:rPr>
                <w:rFonts w:ascii="Calibri" w:cs="Calibri" w:eastAsia="Calibri" w:hAnsi="Calibri"/>
                <w:color w:val="1A1A2E"/>
                <w:sz w:val="19"/>
                <w:szCs w:val="19"/>
              </w:rPr>
              <w:t xml:space="preserve">DACT is a verbose fact layer. All analytical logic belongs downstream. DACT records what happened — it does not evaluate what it means.</w:t>
            </w:r>
          </w:p>
        </w:tc>
      </w:tr>
    </w:tbl>
    <w:p>
      <w:pPr>
        <w:spacing w:after="200" w:before="200"/>
      </w:pPr>
    </w:p>
    <w:p>
      <w:r>
        <w:br w:type="page"/>
      </w:r>
    </w:p>
    <w:p>
      <w:pPr>
        <w:pStyle w:val="Heading1"/>
        <w:pBdr>
          <w:bottom w:val="single" w:color="1B4F8A" w:sz="8" w:space="2"/>
        </w:pBdr>
        <w:spacing w:after="120" w:before="280"/>
      </w:pPr>
      <w:r>
        <w:rPr>
          <w:rFonts w:ascii="Calibri" w:cs="Calibri" w:eastAsia="Calibri" w:hAnsi="Calibri"/>
          <w:b/>
          <w:bCs/>
          <w:color w:val="0D1E3A"/>
          <w:sz w:val="28"/>
          <w:szCs w:val="28"/>
        </w:rPr>
        <w:t xml:space="preserve">1. Purpose</w:t>
      </w:r>
    </w:p>
    <w:p>
      <w:pPr>
        <w:spacing w:after="60" w:before="80"/>
        <w:jc w:val="left"/>
      </w:pPr>
      <w:r>
        <w:rPr>
          <w:rFonts w:ascii="Calibri" w:cs="Calibri" w:eastAsia="Calibri" w:hAnsi="Calibri"/>
          <w:color w:val="000000"/>
          <w:sz w:val="20"/>
          <w:szCs w:val="20"/>
        </w:rPr>
        <w:t xml:space="preserve">The Digital Assets Consolidated Tape (DACT) defines a centralised, venue-agnostic, interoperable record of observable liquidity spread across digital asset markets. DACT is the sole ingestion point of the Stratalink Liquidity Truth Stack — the immutable foundation on which all downstream intelligence, attestation, and regulatory consumption layers depend.</w:t>
      </w:r>
    </w:p>
    <w:p>
      <w:pPr>
        <w:spacing w:after="100" w:before="1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B4F8A" w:sz="4"/>
              <w:left w:val="single" w:color="1B4F8A" w:sz="4"/>
              <w:bottom w:val="single" w:color="1B4F8A" w:sz="4"/>
              <w:right w:val="single" w:color="1B4F8A" w:sz="4"/>
            </w:tcBorders>
            <w:shd w:fill="EEF2F8" w:val="clear"/>
            <w:tcMar>
              <w:top w:type="dxa" w:w="100"/>
              <w:left w:type="dxa" w:w="120"/>
              <w:bottom w:type="dxa" w:w="100"/>
              <w:right w:type="dxa" w:w="120"/>
            </w:tcMar>
            <w:vAlign w:val="top"/>
          </w:tcPr>
          <w:p>
            <w:pPr>
              <w:spacing w:after="60" w:before="60"/>
              <w:jc w:val="center"/>
            </w:pPr>
            <w:r>
              <w:rPr>
                <w:rFonts w:ascii="Calibri" w:cs="Calibri" w:eastAsia="Calibri" w:hAnsi="Calibri"/>
                <w:b/>
                <w:bCs/>
                <w:color w:val="0D1E3A"/>
                <w:sz w:val="22"/>
                <w:szCs w:val="22"/>
              </w:rPr>
              <w:t xml:space="preserve">“What liquidity was observable in the market at a given time, across venues, at what depth, at what spread, and from which source?”</w:t>
            </w:r>
          </w:p>
        </w:tc>
      </w:tr>
    </w:tbl>
    <w:p>
      <w:pPr>
        <w:spacing w:after="100" w:before="100"/>
      </w:pPr>
    </w:p>
    <w:p>
      <w:pPr>
        <w:spacing w:after="60" w:before="60"/>
        <w:jc w:val="left"/>
      </w:pPr>
      <w:r>
        <w:rPr>
          <w:rFonts w:ascii="Calibri" w:cs="Calibri" w:eastAsia="Calibri" w:hAnsi="Calibri"/>
          <w:color w:val="000000"/>
          <w:sz w:val="20"/>
          <w:szCs w:val="20"/>
        </w:rPr>
        <w:t xml:space="preserve">DACT answers this question by providing five capabilities in a single integrated standard: an event ingestion service; a canonical data model (the Liquidity Tape Reference); an aggregation and normalisation engine; a venue taxonomy and naming specification; and a deterministic replay mechanism for downstream consumers.</w:t>
      </w:r>
    </w:p>
    <w:p>
      <w:pPr>
        <w:spacing w:after="100" w:before="100"/>
      </w:pPr>
    </w:p>
    <w:p>
      <w:pPr>
        <w:spacing w:after="60" w:before="60"/>
        <w:jc w:val="left"/>
      </w:pPr>
      <w:r>
        <w:rPr>
          <w:rFonts w:ascii="Calibri" w:cs="Calibri" w:eastAsia="Calibri" w:hAnsi="Calibri"/>
          <w:i/>
          <w:iCs/>
          <w:color w:val="6B7280"/>
          <w:sz w:val="20"/>
          <w:szCs w:val="20"/>
        </w:rPr>
        <w:t xml:space="preserve">DACT is a verbose fact layer. It does not score, interpret, or make judgements. That is the domain of STRATA® AI (Layer 2) and PoLi™ (Layer 3).</w:t>
      </w:r>
    </w:p>
    <w:p>
      <w:pPr>
        <w:spacing w:after="200" w:before="200"/>
      </w:pPr>
    </w:p>
    <w:p>
      <w:pPr>
        <w:pStyle w:val="Heading1"/>
        <w:pBdr>
          <w:bottom w:val="single" w:color="1B4F8A" w:sz="8" w:space="2"/>
        </w:pBdr>
        <w:spacing w:after="120" w:before="280"/>
      </w:pPr>
      <w:r>
        <w:rPr>
          <w:rFonts w:ascii="Calibri" w:cs="Calibri" w:eastAsia="Calibri" w:hAnsi="Calibri"/>
          <w:b/>
          <w:bCs/>
          <w:color w:val="0D1E3A"/>
          <w:sz w:val="28"/>
          <w:szCs w:val="28"/>
        </w:rPr>
        <w:t xml:space="preserve">2. Design Principles</w:t>
      </w:r>
    </w:p>
    <w:p>
      <w:pPr>
        <w:spacing w:after="60" w:before="80"/>
        <w:jc w:val="left"/>
      </w:pPr>
      <w:r>
        <w:rPr>
          <w:rFonts w:ascii="Calibri" w:cs="Calibri" w:eastAsia="Calibri" w:hAnsi="Calibri"/>
          <w:color w:val="000000"/>
          <w:sz w:val="20"/>
          <w:szCs w:val="20"/>
        </w:rPr>
        <w:t xml:space="preserve">DACT is governed by five foundational design principles:</w:t>
      </w:r>
    </w:p>
    <w:p>
      <w:pPr>
        <w:spacing w:after="100" w:before="1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c>
          <w:tcPr>
            <w:tcW w:type="dxa" w:w="2400"/>
            <w:tcBorders>
              <w:top w:val="single" w:color="D0D4DC" w:sz="4"/>
              <w:left w:val="single" w:color="D0D4DC" w:sz="4"/>
              <w:bottom w:val="single" w:color="D0D4DC" w:sz="4"/>
              <w:right w:val="single" w:color="D0D4DC" w:sz="4"/>
            </w:tcBorders>
            <w:shd w:fill="EEF2F8" w:val="clear"/>
            <w:tcMar>
              <w:top w:type="dxa" w:w="100"/>
              <w:left w:type="dxa" w:w="120"/>
              <w:bottom w:type="dxa" w:w="100"/>
              <w:right w:type="dxa" w:w="120"/>
            </w:tcMar>
            <w:vAlign w:val="top"/>
          </w:tcPr>
          <w:p>
            <w:pPr>
              <w:spacing w:after="60" w:before="60"/>
              <w:jc w:val="left"/>
            </w:pPr>
            <w:r>
              <w:rPr>
                <w:rFonts w:ascii="Calibri" w:cs="Calibri" w:eastAsia="Calibri" w:hAnsi="Calibri"/>
                <w:b/>
                <w:bCs/>
                <w:color w:val="0D1E3A"/>
                <w:sz w:val="19"/>
                <w:szCs w:val="19"/>
              </w:rPr>
              <w:t xml:space="preserve">(1) Immutability</w:t>
            </w:r>
          </w:p>
        </w:tc>
        <w:tc>
          <w:tcPr>
            <w:tcW w:type="dxa" w:w="7346"/>
            <w:tcBorders>
              <w:top w:val="single" w:color="D0D4DC" w:sz="4"/>
              <w:left w:val="single" w:color="D0D4DC" w:sz="4"/>
              <w:bottom w:val="single" w:color="D0D4DC" w:sz="4"/>
              <w:right w:val="single" w:color="D0D4DC" w:sz="4"/>
            </w:tcBorders>
            <w:shd w:fill="F2F4F7" w:val="clear"/>
            <w:tcMar>
              <w:top w:type="dxa" w:w="100"/>
              <w:left w:type="dxa" w:w="120"/>
              <w:bottom w:type="dxa" w:w="100"/>
              <w:right w:type="dxa" w:w="120"/>
            </w:tcMar>
            <w:vAlign w:val="top"/>
          </w:tcPr>
          <w:p>
            <w:pPr>
              <w:spacing w:after="60" w:before="60"/>
              <w:jc w:val="left"/>
            </w:pPr>
            <w:r>
              <w:rPr>
                <w:rFonts w:ascii="Calibri" w:cs="Calibri" w:eastAsia="Calibri" w:hAnsi="Calibri"/>
                <w:color w:val="1A1A2E"/>
                <w:sz w:val="19"/>
                <w:szCs w:val="19"/>
              </w:rPr>
              <w:t xml:space="preserve">DACT events are append-only. Once recorded, a LiquidityTapeEvent cannot be modified or deleted. A record may become stale (superseded by a more recent event) but the historical record is permanent. This immutability is the basis on which downstream attestation and regulatory audit depend.</w:t>
            </w:r>
          </w:p>
        </w:tc>
      </w:tr>
      <w:tr>
        <w:tc>
          <w:tcPr>
            <w:tcW w:type="dxa" w:w="2400"/>
            <w:tcBorders>
              <w:top w:val="single" w:color="D0D4DC" w:sz="4"/>
              <w:left w:val="single" w:color="D0D4DC" w:sz="4"/>
              <w:bottom w:val="single" w:color="D0D4DC" w:sz="4"/>
              <w:right w:val="single" w:color="D0D4DC" w:sz="4"/>
            </w:tcBorders>
            <w:shd w:fill="F8F9FB" w:val="clear"/>
            <w:tcMar>
              <w:top w:type="dxa" w:w="100"/>
              <w:left w:type="dxa" w:w="120"/>
              <w:bottom w:type="dxa" w:w="100"/>
              <w:right w:type="dxa" w:w="120"/>
            </w:tcMar>
            <w:vAlign w:val="top"/>
          </w:tcPr>
          <w:p>
            <w:pPr>
              <w:spacing w:after="60" w:before="60"/>
              <w:jc w:val="left"/>
            </w:pPr>
            <w:r>
              <w:rPr>
                <w:rFonts w:ascii="Calibri" w:cs="Calibri" w:eastAsia="Calibri" w:hAnsi="Calibri"/>
                <w:b/>
                <w:bCs/>
                <w:color w:val="0D1E3A"/>
                <w:sz w:val="19"/>
                <w:szCs w:val="19"/>
              </w:rPr>
              <w:t xml:space="preserve">(2) Lossless Attribution</w:t>
            </w:r>
          </w:p>
        </w:tc>
        <w:tc>
          <w:tcPr>
            <w:tcW w:type="dxa" w:w="7346"/>
            <w:tcBorders>
              <w:top w:val="single" w:color="D0D4DC" w:sz="4"/>
              <w:left w:val="single" w:color="D0D4DC" w:sz="4"/>
              <w:bottom w:val="single" w:color="D0D4DC" w:sz="4"/>
              <w:right w:val="single" w:color="D0D4DC" w:sz="4"/>
            </w:tcBorders>
            <w:shd w:fill="FFFFFF" w:val="clear"/>
            <w:tcMar>
              <w:top w:type="dxa" w:w="100"/>
              <w:left w:type="dxa" w:w="120"/>
              <w:bottom w:type="dxa" w:w="100"/>
              <w:right w:type="dxa" w:w="120"/>
            </w:tcMar>
            <w:vAlign w:val="top"/>
          </w:tcPr>
          <w:p>
            <w:pPr>
              <w:spacing w:after="60" w:before="60"/>
              <w:jc w:val="left"/>
            </w:pPr>
            <w:r>
              <w:rPr>
                <w:rFonts w:ascii="Calibri" w:cs="Calibri" w:eastAsia="Calibri" w:hAnsi="Calibri"/>
                <w:color w:val="1A1A2E"/>
                <w:sz w:val="19"/>
                <w:szCs w:val="19"/>
              </w:rPr>
              <w:t xml:space="preserve">Every event MUST record both the source venue and the transport mechanism (direct or relay). Evidence MUST be recorded as null rather than absent when a value is unverifiable. Absence of attribution is itself a recorded fact, not a gap.</w:t>
            </w:r>
          </w:p>
        </w:tc>
      </w:tr>
      <w:tr>
        <w:tc>
          <w:tcPr>
            <w:tcW w:type="dxa" w:w="2400"/>
            <w:tcBorders>
              <w:top w:val="single" w:color="D0D4DC" w:sz="4"/>
              <w:left w:val="single" w:color="D0D4DC" w:sz="4"/>
              <w:bottom w:val="single" w:color="D0D4DC" w:sz="4"/>
              <w:right w:val="single" w:color="D0D4DC" w:sz="4"/>
            </w:tcBorders>
            <w:shd w:fill="EEF2F8" w:val="clear"/>
            <w:tcMar>
              <w:top w:type="dxa" w:w="100"/>
              <w:left w:type="dxa" w:w="120"/>
              <w:bottom w:type="dxa" w:w="100"/>
              <w:right w:type="dxa" w:w="120"/>
            </w:tcMar>
            <w:vAlign w:val="top"/>
          </w:tcPr>
          <w:p>
            <w:pPr>
              <w:spacing w:after="60" w:before="60"/>
              <w:jc w:val="left"/>
            </w:pPr>
            <w:r>
              <w:rPr>
                <w:rFonts w:ascii="Calibri" w:cs="Calibri" w:eastAsia="Calibri" w:hAnsi="Calibri"/>
                <w:b/>
                <w:bCs/>
                <w:color w:val="0D1E3A"/>
                <w:sz w:val="19"/>
                <w:szCs w:val="19"/>
              </w:rPr>
              <w:t xml:space="preserve">(3) Time Fidelity</w:t>
            </w:r>
          </w:p>
        </w:tc>
        <w:tc>
          <w:tcPr>
            <w:tcW w:type="dxa" w:w="7346"/>
            <w:tcBorders>
              <w:top w:val="single" w:color="D0D4DC" w:sz="4"/>
              <w:left w:val="single" w:color="D0D4DC" w:sz="4"/>
              <w:bottom w:val="single" w:color="D0D4DC" w:sz="4"/>
              <w:right w:val="single" w:color="D0D4DC" w:sz="4"/>
            </w:tcBorders>
            <w:shd w:fill="F2F4F7" w:val="clear"/>
            <w:tcMar>
              <w:top w:type="dxa" w:w="100"/>
              <w:left w:type="dxa" w:w="120"/>
              <w:bottom w:type="dxa" w:w="100"/>
              <w:right w:type="dxa" w:w="120"/>
            </w:tcMar>
            <w:vAlign w:val="top"/>
          </w:tcPr>
          <w:p>
            <w:pPr>
              <w:spacing w:after="60" w:before="60"/>
              <w:jc w:val="left"/>
            </w:pPr>
            <w:r>
              <w:rPr>
                <w:rFonts w:ascii="Calibri" w:cs="Calibri" w:eastAsia="Calibri" w:hAnsi="Calibri"/>
                <w:color w:val="1A1A2E"/>
                <w:sz w:val="19"/>
                <w:szCs w:val="19"/>
              </w:rPr>
              <w:t xml:space="preserve">All temporal records use microsecond-precision UTC timestamps. DACT guarantees deterministic temporal ordering of events across venues. Venue-specific clock skew is compensated via latency models; stale events are flagged rather than discarded.</w:t>
            </w:r>
          </w:p>
        </w:tc>
      </w:tr>
      <w:tr>
        <w:tc>
          <w:tcPr>
            <w:tcW w:type="dxa" w:w="2400"/>
            <w:tcBorders>
              <w:top w:val="single" w:color="D0D4DC" w:sz="4"/>
              <w:left w:val="single" w:color="D0D4DC" w:sz="4"/>
              <w:bottom w:val="single" w:color="D0D4DC" w:sz="4"/>
              <w:right w:val="single" w:color="D0D4DC" w:sz="4"/>
            </w:tcBorders>
            <w:shd w:fill="F8F9FB" w:val="clear"/>
            <w:tcMar>
              <w:top w:type="dxa" w:w="100"/>
              <w:left w:type="dxa" w:w="120"/>
              <w:bottom w:type="dxa" w:w="100"/>
              <w:right w:type="dxa" w:w="120"/>
            </w:tcMar>
            <w:vAlign w:val="top"/>
          </w:tcPr>
          <w:p>
            <w:pPr>
              <w:spacing w:after="60" w:before="60"/>
              <w:jc w:val="left"/>
            </w:pPr>
            <w:r>
              <w:rPr>
                <w:rFonts w:ascii="Calibri" w:cs="Calibri" w:eastAsia="Calibri" w:hAnsi="Calibri"/>
                <w:b/>
                <w:bCs/>
                <w:color w:val="0D1E3A"/>
                <w:sz w:val="19"/>
                <w:szCs w:val="19"/>
              </w:rPr>
              <w:t xml:space="preserve">(4) Observer-Only Posture</w:t>
            </w:r>
          </w:p>
        </w:tc>
        <w:tc>
          <w:tcPr>
            <w:tcW w:type="dxa" w:w="7346"/>
            <w:tcBorders>
              <w:top w:val="single" w:color="D0D4DC" w:sz="4"/>
              <w:left w:val="single" w:color="D0D4DC" w:sz="4"/>
              <w:bottom w:val="single" w:color="D0D4DC" w:sz="4"/>
              <w:right w:val="single" w:color="D0D4DC" w:sz="4"/>
            </w:tcBorders>
            <w:shd w:fill="FFFFFF" w:val="clear"/>
            <w:tcMar>
              <w:top w:type="dxa" w:w="100"/>
              <w:left w:type="dxa" w:w="120"/>
              <w:bottom w:type="dxa" w:w="100"/>
              <w:right w:type="dxa" w:w="120"/>
            </w:tcMar>
            <w:vAlign w:val="top"/>
          </w:tcPr>
          <w:p>
            <w:pPr>
              <w:spacing w:after="60" w:before="60"/>
              <w:jc w:val="left"/>
            </w:pPr>
            <w:r>
              <w:rPr>
                <w:rFonts w:ascii="Calibri" w:cs="Calibri" w:eastAsia="Calibri" w:hAnsi="Calibri"/>
                <w:color w:val="1A1A2E"/>
                <w:sz w:val="19"/>
                <w:szCs w:val="19"/>
              </w:rPr>
              <w:t xml:space="preserve">DACT is non-predictive. It captures what happened, never what will happen. It records observable market state without inference, interpolation, or simulation. This principle is inherited by the LTR.</w:t>
            </w:r>
          </w:p>
        </w:tc>
      </w:tr>
      <w:tr>
        <w:tc>
          <w:tcPr>
            <w:tcW w:type="dxa" w:w="2400"/>
            <w:tcBorders>
              <w:top w:val="single" w:color="D0D4DC" w:sz="4"/>
              <w:left w:val="single" w:color="D0D4DC" w:sz="4"/>
              <w:bottom w:val="single" w:color="D0D4DC" w:sz="4"/>
              <w:right w:val="single" w:color="D0D4DC" w:sz="4"/>
            </w:tcBorders>
            <w:shd w:fill="EEF2F8" w:val="clear"/>
            <w:tcMar>
              <w:top w:type="dxa" w:w="100"/>
              <w:left w:type="dxa" w:w="120"/>
              <w:bottom w:type="dxa" w:w="100"/>
              <w:right w:type="dxa" w:w="120"/>
            </w:tcMar>
            <w:vAlign w:val="top"/>
          </w:tcPr>
          <w:p>
            <w:pPr>
              <w:spacing w:after="60" w:before="60"/>
              <w:jc w:val="left"/>
            </w:pPr>
            <w:r>
              <w:rPr>
                <w:rFonts w:ascii="Calibri" w:cs="Calibri" w:eastAsia="Calibri" w:hAnsi="Calibri"/>
                <w:b/>
                <w:bCs/>
                <w:color w:val="0D1E3A"/>
                <w:sz w:val="19"/>
                <w:szCs w:val="19"/>
              </w:rPr>
              <w:t xml:space="preserve">(5) Canonical Interoperability</w:t>
            </w:r>
          </w:p>
        </w:tc>
        <w:tc>
          <w:tcPr>
            <w:tcW w:type="dxa" w:w="7346"/>
            <w:tcBorders>
              <w:top w:val="single" w:color="D0D4DC" w:sz="4"/>
              <w:left w:val="single" w:color="D0D4DC" w:sz="4"/>
              <w:bottom w:val="single" w:color="D0D4DC" w:sz="4"/>
              <w:right w:val="single" w:color="D0D4DC" w:sz="4"/>
            </w:tcBorders>
            <w:shd w:fill="F2F4F7" w:val="clear"/>
            <w:tcMar>
              <w:top w:type="dxa" w:w="100"/>
              <w:left w:type="dxa" w:w="120"/>
              <w:bottom w:type="dxa" w:w="100"/>
              <w:right w:type="dxa" w:w="120"/>
            </w:tcMar>
            <w:vAlign w:val="top"/>
          </w:tcPr>
          <w:p>
            <w:pPr>
              <w:spacing w:after="60" w:before="60"/>
              <w:jc w:val="left"/>
            </w:pPr>
            <w:r>
              <w:rPr>
                <w:rFonts w:ascii="Calibri" w:cs="Calibri" w:eastAsia="Calibri" w:hAnsi="Calibri"/>
                <w:color w:val="1A1A2E"/>
                <w:sz w:val="19"/>
                <w:szCs w:val="19"/>
              </w:rPr>
              <w:t xml:space="preserve">One schema governs all event types across all venue categories (CEX, DEX, RFQ/OTC, Tokenised/RWA). The Liquidity Tape Reference eliminates venue-specific fragmentation, enabling true consolidated tape functionality across heterogeneous market structures.</w:t>
            </w:r>
          </w:p>
        </w:tc>
      </w:tr>
    </w:tbl>
    <w:p>
      <w:pPr>
        <w:spacing w:after="200" w:before="200"/>
      </w:pPr>
    </w:p>
    <w:p>
      <w:pPr>
        <w:pStyle w:val="Heading1"/>
        <w:pBdr>
          <w:bottom w:val="single" w:color="1B4F8A" w:sz="8" w:space="2"/>
        </w:pBdr>
        <w:spacing w:after="120" w:before="280"/>
      </w:pPr>
      <w:r>
        <w:rPr>
          <w:rFonts w:ascii="Calibri" w:cs="Calibri" w:eastAsia="Calibri" w:hAnsi="Calibri"/>
          <w:b/>
          <w:bCs/>
          <w:color w:val="0D1E3A"/>
          <w:sz w:val="28"/>
          <w:szCs w:val="28"/>
        </w:rPr>
        <w:t xml:space="preserve">3. Architectural Positioning</w:t>
      </w:r>
    </w:p>
    <w:p>
      <w:pPr>
        <w:spacing w:after="60" w:before="80"/>
        <w:jc w:val="left"/>
      </w:pPr>
      <w:r>
        <w:rPr>
          <w:rFonts w:ascii="Calibri" w:cs="Calibri" w:eastAsia="Calibri" w:hAnsi="Calibri"/>
          <w:color w:val="000000"/>
          <w:sz w:val="20"/>
          <w:szCs w:val="20"/>
        </w:rPr>
        <w:t xml:space="preserve">DACT is the foundational data layer of the Stratalink Liquidity Truth Stack. It is downstream of market venues and upstream of every analytical, attestation, and regulatory layer. Its position is fixed and exclusive.</w:t>
      </w:r>
    </w:p>
    <w:p>
      <w:pPr>
        <w:spacing w:after="100" w:before="1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6946"/>
      </w:tblGrid>
      <w:tr>
        <w:tc>
          <w:tcPr>
            <w:tcW w:type="dxa" w:w="2800"/>
            <w:tcBorders>
              <w:top w:val="single" w:color="D0D4DC" w:sz="4"/>
              <w:left w:val="single" w:color="D0D4DC" w:sz="4"/>
              <w:bottom w:val="single" w:color="D0D4DC" w:sz="4"/>
              <w:right w:val="single" w:color="D0D4DC" w:sz="4"/>
            </w:tcBorders>
            <w:shd w:fill="EEF2F8" w:val="clear"/>
            <w:tcMar>
              <w:top w:type="dxa" w:w="100"/>
              <w:left w:type="dxa" w:w="120"/>
              <w:bottom w:type="dxa" w:w="100"/>
              <w:right w:type="dxa" w:w="120"/>
            </w:tcMar>
            <w:vAlign w:val="top"/>
          </w:tcPr>
          <w:p>
            <w:pPr>
              <w:spacing w:after="60" w:before="60"/>
              <w:jc w:val="left"/>
            </w:pPr>
            <w:r>
              <w:rPr>
                <w:rFonts w:ascii="Calibri" w:cs="Calibri" w:eastAsia="Calibri" w:hAnsi="Calibri"/>
                <w:b/>
                <w:bCs/>
                <w:color w:val="0D1E3A"/>
                <w:sz w:val="19"/>
                <w:szCs w:val="19"/>
              </w:rPr>
              <w:t xml:space="preserve">Market Venues (External)</w:t>
            </w:r>
          </w:p>
        </w:tc>
        <w:tc>
          <w:tcPr>
            <w:tcW w:type="dxa" w:w="6946"/>
            <w:tcBorders>
              <w:top w:val="single" w:color="D0D4DC" w:sz="4"/>
              <w:left w:val="single" w:color="D0D4DC" w:sz="4"/>
              <w:bottom w:val="single" w:color="D0D4DC" w:sz="4"/>
              <w:right w:val="single" w:color="D0D4DC" w:sz="4"/>
            </w:tcBorders>
            <w:shd w:fill="F2F4F7" w:val="clear"/>
            <w:tcMar>
              <w:top w:type="dxa" w:w="100"/>
              <w:left w:type="dxa" w:w="120"/>
              <w:bottom w:type="dxa" w:w="100"/>
              <w:right w:type="dxa" w:w="120"/>
            </w:tcMar>
            <w:vAlign w:val="top"/>
          </w:tcPr>
          <w:p>
            <w:pPr>
              <w:spacing w:after="60" w:before="60"/>
              <w:jc w:val="left"/>
            </w:pPr>
            <w:r>
              <w:rPr>
                <w:rFonts w:ascii="Calibri" w:cs="Calibri" w:eastAsia="Calibri" w:hAnsi="Calibri"/>
                <w:color w:val="1A1A2E"/>
                <w:sz w:val="19"/>
                <w:szCs w:val="19"/>
              </w:rPr>
              <w:t xml:space="preserve">Raw depth, spread, trade, and connectivity signals from CEX, DEX, RFQ/OTC, and Tokenised/RWA venues</w:t>
            </w:r>
          </w:p>
        </w:tc>
      </w:tr>
      <w:tr>
        <w:tc>
          <w:tcPr>
            <w:tcW w:type="dxa" w:w="2800"/>
            <w:tcBorders>
              <w:top w:val="single" w:color="D0D4DC" w:sz="4"/>
              <w:left w:val="single" w:color="D0D4DC" w:sz="4"/>
              <w:bottom w:val="single" w:color="D0D4DC" w:sz="4"/>
              <w:right w:val="single" w:color="D0D4DC" w:sz="4"/>
            </w:tcBorders>
            <w:shd w:fill="F8F9FB" w:val="clear"/>
            <w:tcMar>
              <w:top w:type="dxa" w:w="100"/>
              <w:left w:type="dxa" w:w="120"/>
              <w:bottom w:type="dxa" w:w="100"/>
              <w:right w:type="dxa" w:w="120"/>
            </w:tcMar>
            <w:vAlign w:val="top"/>
          </w:tcPr>
          <w:p>
            <w:pPr>
              <w:spacing w:after="60" w:before="60"/>
              <w:jc w:val="left"/>
            </w:pPr>
            <w:r>
              <w:rPr>
                <w:rFonts w:ascii="Calibri" w:cs="Calibri" w:eastAsia="Calibri" w:hAnsi="Calibri"/>
                <w:b/>
                <w:bCs/>
                <w:color w:val="0D1E3A"/>
                <w:sz w:val="19"/>
                <w:szCs w:val="19"/>
              </w:rPr>
              <w:t xml:space="preserve">LTF Governance &amp; Control (Layer 0)</w:t>
            </w:r>
          </w:p>
        </w:tc>
        <w:tc>
          <w:tcPr>
            <w:tcW w:type="dxa" w:w="6946"/>
            <w:tcBorders>
              <w:top w:val="single" w:color="D0D4DC" w:sz="4"/>
              <w:left w:val="single" w:color="D0D4DC" w:sz="4"/>
              <w:bottom w:val="single" w:color="D0D4DC" w:sz="4"/>
              <w:right w:val="single" w:color="D0D4DC" w:sz="4"/>
            </w:tcBorders>
            <w:shd w:fill="FFFFFF" w:val="clear"/>
            <w:tcMar>
              <w:top w:type="dxa" w:w="100"/>
              <w:left w:type="dxa" w:w="120"/>
              <w:bottom w:type="dxa" w:w="100"/>
              <w:right w:type="dxa" w:w="120"/>
            </w:tcMar>
            <w:vAlign w:val="top"/>
          </w:tcPr>
          <w:p>
            <w:pPr>
              <w:spacing w:after="60" w:before="60"/>
              <w:jc w:val="left"/>
            </w:pPr>
            <w:r>
              <w:rPr>
                <w:rFonts w:ascii="Calibri" w:cs="Calibri" w:eastAsia="Calibri" w:hAnsi="Calibri"/>
                <w:color w:val="1A1A2E"/>
                <w:sz w:val="19"/>
                <w:szCs w:val="19"/>
              </w:rPr>
              <w:t xml:space="preserve">Governance spine — DSU declarations, methodology governance, publication policies, evidence standards, TTL parameters, signing &amp; key governance, audit &amp; compliance. Governs all layers orthogonally. Does not process market data. [INTERNAL]</w:t>
            </w:r>
          </w:p>
        </w:tc>
      </w:tr>
      <w:tr>
        <w:tc>
          <w:tcPr>
            <w:tcW w:type="dxa" w:w="2800"/>
            <w:tcBorders>
              <w:top w:val="single" w:color="D0D4DC" w:sz="4"/>
              <w:left w:val="single" w:color="D0D4DC" w:sz="4"/>
              <w:bottom w:val="single" w:color="D0D4DC" w:sz="4"/>
              <w:right w:val="single" w:color="D0D4DC" w:sz="4"/>
            </w:tcBorders>
            <w:shd w:fill="EEF2F8" w:val="clear"/>
            <w:tcMar>
              <w:top w:type="dxa" w:w="100"/>
              <w:left w:type="dxa" w:w="120"/>
              <w:bottom w:type="dxa" w:w="100"/>
              <w:right w:type="dxa" w:w="120"/>
            </w:tcMar>
            <w:vAlign w:val="top"/>
          </w:tcPr>
          <w:p>
            <w:pPr>
              <w:spacing w:after="60" w:before="60"/>
              <w:jc w:val="left"/>
            </w:pPr>
            <w:r>
              <w:rPr>
                <w:rFonts w:ascii="Calibri" w:cs="Calibri" w:eastAsia="Calibri" w:hAnsi="Calibri"/>
                <w:b/>
                <w:bCs/>
                <w:color w:val="0D1E3A"/>
                <w:sz w:val="19"/>
                <w:szCs w:val="19"/>
              </w:rPr>
              <w:t xml:space="preserve">DACT (Layer 1)</w:t>
            </w:r>
          </w:p>
        </w:tc>
        <w:tc>
          <w:tcPr>
            <w:tcW w:type="dxa" w:w="6946"/>
            <w:tcBorders>
              <w:top w:val="single" w:color="D0D4DC" w:sz="4"/>
              <w:left w:val="single" w:color="D0D4DC" w:sz="4"/>
              <w:bottom w:val="single" w:color="D0D4DC" w:sz="4"/>
              <w:right w:val="single" w:color="D0D4DC" w:sz="4"/>
            </w:tcBorders>
            <w:shd w:fill="F2F4F7" w:val="clear"/>
            <w:tcMar>
              <w:top w:type="dxa" w:w="100"/>
              <w:left w:type="dxa" w:w="120"/>
              <w:bottom w:type="dxa" w:w="100"/>
              <w:right w:type="dxa" w:w="120"/>
            </w:tcMar>
            <w:vAlign w:val="top"/>
          </w:tcPr>
          <w:p>
            <w:pPr>
              <w:spacing w:after="60" w:before="60"/>
              <w:jc w:val="left"/>
            </w:pPr>
            <w:r>
              <w:rPr>
                <w:rFonts w:ascii="Calibri" w:cs="Calibri" w:eastAsia="Calibri" w:hAnsi="Calibri"/>
                <w:color w:val="1A1A2E"/>
                <w:sz w:val="19"/>
                <w:szCs w:val="19"/>
              </w:rPr>
              <w:t xml:space="preserve">Immutable, canonical, venue-normalised event record — the sole truth input for all downstream layers</w:t>
            </w:r>
          </w:p>
        </w:tc>
      </w:tr>
      <w:tr>
        <w:tc>
          <w:tcPr>
            <w:tcW w:type="dxa" w:w="2800"/>
            <w:tcBorders>
              <w:top w:val="single" w:color="D0D4DC" w:sz="4"/>
              <w:left w:val="single" w:color="D0D4DC" w:sz="4"/>
              <w:bottom w:val="single" w:color="D0D4DC" w:sz="4"/>
              <w:right w:val="single" w:color="D0D4DC" w:sz="4"/>
            </w:tcBorders>
            <w:shd w:fill="F8F9FB" w:val="clear"/>
            <w:tcMar>
              <w:top w:type="dxa" w:w="100"/>
              <w:left w:type="dxa" w:w="120"/>
              <w:bottom w:type="dxa" w:w="100"/>
              <w:right w:type="dxa" w:w="120"/>
            </w:tcMar>
            <w:vAlign w:val="top"/>
          </w:tcPr>
          <w:p>
            <w:pPr>
              <w:spacing w:after="60" w:before="60"/>
              <w:jc w:val="left"/>
            </w:pPr>
            <w:r>
              <w:rPr>
                <w:rFonts w:ascii="Calibri" w:cs="Calibri" w:eastAsia="Calibri" w:hAnsi="Calibri"/>
                <w:b/>
                <w:bCs/>
                <w:color w:val="0D1E3A"/>
                <w:sz w:val="19"/>
                <w:szCs w:val="19"/>
              </w:rPr>
              <w:t xml:space="preserve">STRATA® AI (Layer 2)</w:t>
            </w:r>
          </w:p>
        </w:tc>
        <w:tc>
          <w:tcPr>
            <w:tcW w:type="dxa" w:w="6946"/>
            <w:tcBorders>
              <w:top w:val="single" w:color="D0D4DC" w:sz="4"/>
              <w:left w:val="single" w:color="D0D4DC" w:sz="4"/>
              <w:bottom w:val="single" w:color="D0D4DC" w:sz="4"/>
              <w:right w:val="single" w:color="D0D4DC" w:sz="4"/>
            </w:tcBorders>
            <w:shd w:fill="FFFFFF" w:val="clear"/>
            <w:tcMar>
              <w:top w:type="dxa" w:w="100"/>
              <w:left w:type="dxa" w:w="120"/>
              <w:bottom w:type="dxa" w:w="100"/>
              <w:right w:type="dxa" w:w="120"/>
            </w:tcMar>
            <w:vAlign w:val="top"/>
          </w:tcPr>
          <w:p>
            <w:pPr>
              <w:spacing w:after="60" w:before="60"/>
              <w:jc w:val="left"/>
            </w:pPr>
            <w:r>
              <w:rPr>
                <w:rFonts w:ascii="Calibri" w:cs="Calibri" w:eastAsia="Calibri" w:hAnsi="Calibri"/>
                <w:color w:val="1A1A2E"/>
                <w:sz w:val="19"/>
                <w:szCs w:val="19"/>
              </w:rPr>
              <w:t xml:space="preserve">Intelligence and reasoning — consumes DACT events to produce analytical scores and explanations</w:t>
            </w:r>
          </w:p>
        </w:tc>
      </w:tr>
      <w:tr>
        <w:tc>
          <w:tcPr>
            <w:tcW w:type="dxa" w:w="2800"/>
            <w:tcBorders>
              <w:top w:val="single" w:color="D0D4DC" w:sz="4"/>
              <w:left w:val="single" w:color="D0D4DC" w:sz="4"/>
              <w:bottom w:val="single" w:color="D0D4DC" w:sz="4"/>
              <w:right w:val="single" w:color="D0D4DC" w:sz="4"/>
            </w:tcBorders>
            <w:shd w:fill="EEF2F8" w:val="clear"/>
            <w:tcMar>
              <w:top w:type="dxa" w:w="100"/>
              <w:left w:type="dxa" w:w="120"/>
              <w:bottom w:type="dxa" w:w="100"/>
              <w:right w:type="dxa" w:w="120"/>
            </w:tcMar>
            <w:vAlign w:val="top"/>
          </w:tcPr>
          <w:p>
            <w:pPr>
              <w:spacing w:after="60" w:before="60"/>
              <w:jc w:val="left"/>
            </w:pPr>
            <w:r>
              <w:rPr>
                <w:rFonts w:ascii="Calibri" w:cs="Calibri" w:eastAsia="Calibri" w:hAnsi="Calibri"/>
                <w:b/>
                <w:bCs/>
                <w:color w:val="0D1E3A"/>
                <w:sz w:val="19"/>
                <w:szCs w:val="19"/>
              </w:rPr>
              <w:t xml:space="preserve">PoLi™ (Layer 3)</w:t>
            </w:r>
          </w:p>
        </w:tc>
        <w:tc>
          <w:tcPr>
            <w:tcW w:type="dxa" w:w="6946"/>
            <w:tcBorders>
              <w:top w:val="single" w:color="D0D4DC" w:sz="4"/>
              <w:left w:val="single" w:color="D0D4DC" w:sz="4"/>
              <w:bottom w:val="single" w:color="D0D4DC" w:sz="4"/>
              <w:right w:val="single" w:color="D0D4DC" w:sz="4"/>
            </w:tcBorders>
            <w:shd w:fill="F2F4F7" w:val="clear"/>
            <w:tcMar>
              <w:top w:type="dxa" w:w="100"/>
              <w:left w:type="dxa" w:w="120"/>
              <w:bottom w:type="dxa" w:w="100"/>
              <w:right w:type="dxa" w:w="120"/>
            </w:tcMar>
            <w:vAlign w:val="top"/>
          </w:tcPr>
          <w:p>
            <w:pPr>
              <w:spacing w:after="60" w:before="60"/>
              <w:jc w:val="left"/>
            </w:pPr>
            <w:r>
              <w:rPr>
                <w:rFonts w:ascii="Calibri" w:cs="Calibri" w:eastAsia="Calibri" w:hAnsi="Calibri"/>
                <w:color w:val="1A1A2E"/>
                <w:sz w:val="19"/>
                <w:szCs w:val="19"/>
              </w:rPr>
              <w:t xml:space="preserve">Cryptographic attestation — consumes DACT evidence to produce signed PoLiSnapshots</w:t>
            </w:r>
          </w:p>
        </w:tc>
      </w:tr>
      <w:tr>
        <w:tc>
          <w:tcPr>
            <w:tcW w:type="dxa" w:w="2800"/>
            <w:tcBorders>
              <w:top w:val="single" w:color="D0D4DC" w:sz="4"/>
              <w:left w:val="single" w:color="D0D4DC" w:sz="4"/>
              <w:bottom w:val="single" w:color="D0D4DC" w:sz="4"/>
              <w:right w:val="single" w:color="D0D4DC" w:sz="4"/>
            </w:tcBorders>
            <w:shd w:fill="F8F9FB" w:val="clear"/>
            <w:tcMar>
              <w:top w:type="dxa" w:w="100"/>
              <w:left w:type="dxa" w:w="120"/>
              <w:bottom w:type="dxa" w:w="100"/>
              <w:right w:type="dxa" w:w="120"/>
            </w:tcMar>
            <w:vAlign w:val="top"/>
          </w:tcPr>
          <w:p>
            <w:pPr>
              <w:spacing w:after="60" w:before="60"/>
              <w:jc w:val="left"/>
            </w:pPr>
            <w:r>
              <w:rPr>
                <w:rFonts w:ascii="Calibri" w:cs="Calibri" w:eastAsia="Calibri" w:hAnsi="Calibri"/>
                <w:b/>
                <w:bCs/>
                <w:color w:val="0D1E3A"/>
                <w:sz w:val="19"/>
                <w:szCs w:val="19"/>
              </w:rPr>
              <w:t xml:space="preserve">Liquidity Oracle AI (Layer 4)</w:t>
            </w:r>
          </w:p>
        </w:tc>
        <w:tc>
          <w:tcPr>
            <w:tcW w:type="dxa" w:w="6946"/>
            <w:tcBorders>
              <w:top w:val="single" w:color="D0D4DC" w:sz="4"/>
              <w:left w:val="single" w:color="D0D4DC" w:sz="4"/>
              <w:bottom w:val="single" w:color="D0D4DC" w:sz="4"/>
              <w:right w:val="single" w:color="D0D4DC" w:sz="4"/>
            </w:tcBorders>
            <w:shd w:fill="FFFFFF" w:val="clear"/>
            <w:tcMar>
              <w:top w:type="dxa" w:w="100"/>
              <w:left w:type="dxa" w:w="120"/>
              <w:bottom w:type="dxa" w:w="100"/>
              <w:right w:type="dxa" w:w="120"/>
            </w:tcMar>
            <w:vAlign w:val="top"/>
          </w:tcPr>
          <w:p>
            <w:pPr>
              <w:spacing w:after="60" w:before="60"/>
              <w:jc w:val="left"/>
            </w:pPr>
            <w:r>
              <w:rPr>
                <w:rFonts w:ascii="Calibri" w:cs="Calibri" w:eastAsia="Calibri" w:hAnsi="Calibri"/>
                <w:color w:val="1A1A2E"/>
                <w:sz w:val="19"/>
                <w:szCs w:val="19"/>
              </w:rPr>
              <w:t xml:space="preserve">On-chain publication — publishes signed liquidity truth claims derived from PoLi™</w:t>
            </w:r>
          </w:p>
        </w:tc>
      </w:tr>
      <w:tr>
        <w:tc>
          <w:tcPr>
            <w:tcW w:type="dxa" w:w="2800"/>
            <w:tcBorders>
              <w:top w:val="single" w:color="D0D4DC" w:sz="4"/>
              <w:left w:val="single" w:color="D0D4DC" w:sz="4"/>
              <w:bottom w:val="single" w:color="D0D4DC" w:sz="4"/>
              <w:right w:val="single" w:color="D0D4DC" w:sz="4"/>
            </w:tcBorders>
            <w:shd w:fill="EEF2F8" w:val="clear"/>
            <w:tcMar>
              <w:top w:type="dxa" w:w="100"/>
              <w:left w:type="dxa" w:w="120"/>
              <w:bottom w:type="dxa" w:w="100"/>
              <w:right w:type="dxa" w:w="120"/>
            </w:tcMar>
            <w:vAlign w:val="top"/>
          </w:tcPr>
          <w:p>
            <w:pPr>
              <w:spacing w:after="60" w:before="60"/>
              <w:jc w:val="left"/>
            </w:pPr>
            <w:r>
              <w:rPr>
                <w:rFonts w:ascii="Calibri" w:cs="Calibri" w:eastAsia="Calibri" w:hAnsi="Calibri"/>
                <w:b/>
                <w:bCs/>
                <w:color w:val="0D1E3A"/>
                <w:sz w:val="19"/>
                <w:szCs w:val="19"/>
              </w:rPr>
              <w:t xml:space="preserve">RCL (Layer 5)</w:t>
            </w:r>
          </w:p>
        </w:tc>
        <w:tc>
          <w:tcPr>
            <w:tcW w:type="dxa" w:w="6946"/>
            <w:tcBorders>
              <w:top w:val="single" w:color="D0D4DC" w:sz="4"/>
              <w:left w:val="single" w:color="D0D4DC" w:sz="4"/>
              <w:bottom w:val="single" w:color="D0D4DC" w:sz="4"/>
              <w:right w:val="single" w:color="D0D4DC" w:sz="4"/>
            </w:tcBorders>
            <w:shd w:fill="F2F4F7" w:val="clear"/>
            <w:tcMar>
              <w:top w:type="dxa" w:w="100"/>
              <w:left w:type="dxa" w:w="120"/>
              <w:bottom w:type="dxa" w:w="100"/>
              <w:right w:type="dxa" w:w="120"/>
            </w:tcMar>
            <w:vAlign w:val="top"/>
          </w:tcPr>
          <w:p>
            <w:pPr>
              <w:spacing w:after="60" w:before="60"/>
              <w:jc w:val="left"/>
            </w:pPr>
            <w:r>
              <w:rPr>
                <w:rFonts w:ascii="Calibri" w:cs="Calibri" w:eastAsia="Calibri" w:hAnsi="Calibri"/>
                <w:color w:val="1A1A2E"/>
                <w:sz w:val="19"/>
                <w:szCs w:val="19"/>
              </w:rPr>
              <w:t xml:space="preserve">Regulatory Consumption Layer — read-only supervisory access to DACT and PoLi™ artifacts</w:t>
            </w:r>
          </w:p>
        </w:tc>
      </w:tr>
    </w:tbl>
    <w:p>
      <w:pPr>
        <w:spacing w:after="150" w:before="15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00"/>
        <w:gridCol w:w="8346"/>
      </w:tblGrid>
      <w:tr>
        <w:tc>
          <w:tcPr>
            <w:tcW w:type="dxa" w:w="1400"/>
            <w:tcBorders>
              <w:top w:val="none" w:color="FFFFFF" w:sz="0"/>
              <w:left w:val="none" w:color="FFFFFF" w:sz="0"/>
              <w:bottom w:val="none" w:color="FFFFFF" w:sz="0"/>
              <w:right w:val="none" w:color="FFFFFF" w:sz="0"/>
            </w:tcBorders>
            <w:shd w:fill="0D1E3A" w:val="clear"/>
            <w:tcMar>
              <w:top w:type="dxa" w:w="100"/>
              <w:left w:type="dxa" w:w="120"/>
              <w:bottom w:type="dxa" w:w="100"/>
              <w:right w:type="dxa" w:w="120"/>
            </w:tcMar>
            <w:vAlign w:val="top"/>
          </w:tcPr>
          <w:p>
            <w:pPr>
              <w:spacing w:after="60" w:before="60"/>
              <w:jc w:val="left"/>
            </w:pPr>
            <w:r>
              <w:rPr>
                <w:rFonts w:ascii="Calibri" w:cs="Calibri" w:eastAsia="Calibri" w:hAnsi="Calibri"/>
                <w:b/>
                <w:bCs/>
                <w:color w:val="FFFFFF"/>
                <w:sz w:val="18"/>
                <w:szCs w:val="18"/>
              </w:rPr>
              <w:t xml:space="preserve">NORMATIVE: DACT AS SOLE INGESTION POINT</w:t>
            </w:r>
          </w:p>
        </w:tc>
        <w:tc>
          <w:tcPr>
            <w:tcW w:type="dxa" w:w="8346"/>
            <w:tcBorders>
              <w:top w:val="none" w:color="FFFFFF" w:sz="0"/>
              <w:left w:val="none" w:color="FFFFFF" w:sz="0"/>
              <w:bottom w:val="none" w:color="FFFFFF" w:sz="0"/>
              <w:right w:val="none" w:color="FFFFFF" w:sz="0"/>
            </w:tcBorders>
            <w:shd w:fill="E8EEF5" w:val="clear"/>
            <w:tcMar>
              <w:top w:type="dxa" w:w="100"/>
              <w:left w:type="dxa" w:w="120"/>
              <w:bottom w:type="dxa" w:w="100"/>
              <w:right w:type="dxa" w:w="120"/>
            </w:tcMar>
            <w:vAlign w:val="top"/>
          </w:tcPr>
          <w:p>
            <w:pPr>
              <w:spacing w:after="60" w:before="60"/>
              <w:jc w:val="left"/>
            </w:pPr>
            <w:r>
              <w:rPr>
                <w:rFonts w:ascii="Calibri" w:cs="Calibri" w:eastAsia="Calibri" w:hAnsi="Calibri"/>
                <w:color w:val="1A1A2E"/>
                <w:sz w:val="19"/>
                <w:szCs w:val="19"/>
              </w:rPr>
              <w:t xml:space="preserve">No downstream layer SHALL ingest venue data directly. DACT is the exclusive upstream data source for STRATA-STD-1.0, PoLi-STD-1.0, and all other Stratalink layer standards. Any implementation bypassing DACT for venue data ingestion SHALL NOT claim Stratalink conformance.</w:t>
            </w:r>
          </w:p>
        </w:tc>
      </w:tr>
    </w:tbl>
    <w:p>
      <w:pPr>
        <w:spacing w:after="200" w:before="200"/>
      </w:pPr>
    </w:p>
    <w:p>
      <w:pPr>
        <w:pStyle w:val="Heading1"/>
        <w:pBdr>
          <w:bottom w:val="single" w:color="1B4F8A" w:sz="8" w:space="2"/>
        </w:pBdr>
        <w:spacing w:after="120" w:before="280"/>
      </w:pPr>
      <w:r>
        <w:rPr>
          <w:rFonts w:ascii="Calibri" w:cs="Calibri" w:eastAsia="Calibri" w:hAnsi="Calibri"/>
          <w:b/>
          <w:bCs/>
          <w:color w:val="0D1E3A"/>
          <w:sz w:val="28"/>
          <w:szCs w:val="28"/>
        </w:rPr>
        <w:t xml:space="preserve">4. Liquidity Tape Reference (LTR) (Normative)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00"/>
        <w:gridCol w:w="8346"/>
      </w:tblGrid>
      <w:tr>
        <w:tc>
          <w:tcPr>
            <w:tcW w:type="dxa" w:w="1400"/>
            <w:tcBorders>
              <w:top w:val="none" w:color="FFFFFF" w:sz="0"/>
              <w:left w:val="none" w:color="FFFFFF" w:sz="0"/>
              <w:bottom w:val="none" w:color="FFFFFF" w:sz="0"/>
              <w:right w:val="none" w:color="FFFFFF" w:sz="0"/>
            </w:tcBorders>
            <w:shd w:fill="1A7A8A" w:val="clear"/>
            <w:tcMar>
              <w:top w:type="dxa" w:w="100"/>
              <w:left w:type="dxa" w:w="120"/>
              <w:bottom w:type="dxa" w:w="100"/>
              <w:right w:type="dxa" w:w="120"/>
            </w:tcMar>
            <w:vAlign w:val="top"/>
          </w:tcPr>
          <w:p>
            <w:pPr>
              <w:spacing w:after="60" w:before="60"/>
              <w:jc w:val="left"/>
            </w:pPr>
            <w:r>
              <w:rPr>
                <w:rFonts w:ascii="Calibri" w:cs="Calibri" w:eastAsia="Calibri" w:hAnsi="Calibri"/>
                <w:b/>
                <w:bCs/>
                <w:color w:val="FFFFFF"/>
                <w:sz w:val="18"/>
                <w:szCs w:val="18"/>
              </w:rPr>
              <w:t xml:space="preserve">UNIQUE
INNOVATION</w:t>
            </w:r>
          </w:p>
        </w:tc>
        <w:tc>
          <w:tcPr>
            <w:tcW w:type="dxa" w:w="8346"/>
            <w:tcBorders>
              <w:top w:val="none" w:color="FFFFFF" w:sz="0"/>
              <w:left w:val="none" w:color="FFFFFF" w:sz="0"/>
              <w:bottom w:val="none" w:color="FFFFFF" w:sz="0"/>
              <w:right w:val="none" w:color="FFFFFF" w:sz="0"/>
            </w:tcBorders>
            <w:shd w:fill="E6F4F2" w:val="clear"/>
            <w:tcMar>
              <w:top w:type="dxa" w:w="100"/>
              <w:left w:type="dxa" w:w="120"/>
              <w:bottom w:type="dxa" w:w="100"/>
              <w:right w:type="dxa" w:w="120"/>
            </w:tcMar>
            <w:vAlign w:val="top"/>
          </w:tcPr>
          <w:p>
            <w:pPr>
              <w:spacing w:after="60" w:before="60"/>
              <w:jc w:val="left"/>
            </w:pPr>
            <w:r>
              <w:rPr>
                <w:rFonts w:ascii="Calibri" w:cs="Calibri" w:eastAsia="Calibri" w:hAnsi="Calibri"/>
                <w:color w:val="0D2A1A"/>
                <w:sz w:val="19"/>
                <w:szCs w:val="19"/>
              </w:rPr>
              <w:t xml:space="preserve">DACT incorporates the Liquidity Tape Reference (LTR-0.1) — a canonical event schema standard for digital asset liquidity events that does not exist elsewhere in the market. The LTR defines a unified, venue-normalised format enabling true consolidated tape functionality across heterogeneous venue types (CEX, DEX, RFQ/OTC, Tokenised/RWA). This is a unique Stratalink innovation with no market equivalent.</w:t>
            </w:r>
          </w:p>
        </w:tc>
      </w:tr>
    </w:tbl>
    <w:p>
      <w:pPr>
        <w:spacing w:after="150" w:before="150"/>
      </w:pPr>
    </w:p>
    <w:p>
      <w:pPr>
        <w:pStyle w:val="Heading2"/>
        <w:spacing w:after="80" w:before="220"/>
      </w:pPr>
      <w:r>
        <w:rPr>
          <w:rFonts w:ascii="Calibri" w:cs="Calibri" w:eastAsia="Calibri" w:hAnsi="Calibri"/>
          <w:b/>
          <w:bCs/>
          <w:color w:val="1B4F8A"/>
          <w:sz w:val="24"/>
          <w:szCs w:val="24"/>
        </w:rPr>
        <w:t xml:space="preserve">4.1 Design Philosophy</w:t>
      </w:r>
    </w:p>
    <w:p>
      <w:pPr>
        <w:spacing w:after="50" w:before="5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6946"/>
      </w:tblGrid>
      <w:tr>
        <w:tc>
          <w:tcPr>
            <w:tcW w:type="dxa" w:w="2800"/>
            <w:tcBorders>
              <w:top w:val="single" w:color="D0D4DC" w:sz="4"/>
              <w:left w:val="single" w:color="D0D4DC" w:sz="4"/>
              <w:bottom w:val="single" w:color="D0D4DC" w:sz="4"/>
              <w:right w:val="single" w:color="D0D4DC" w:sz="4"/>
            </w:tcBorders>
            <w:shd w:fill="EEF2F8" w:val="clear"/>
            <w:tcMar>
              <w:top w:type="dxa" w:w="100"/>
              <w:left w:type="dxa" w:w="120"/>
              <w:bottom w:type="dxa" w:w="100"/>
              <w:right w:type="dxa" w:w="120"/>
            </w:tcMar>
            <w:vAlign w:val="top"/>
          </w:tcPr>
          <w:p>
            <w:pPr>
              <w:spacing w:after="60" w:before="60"/>
              <w:jc w:val="left"/>
            </w:pPr>
            <w:r>
              <w:rPr>
                <w:rFonts w:ascii="Calibri" w:cs="Calibri" w:eastAsia="Calibri" w:hAnsi="Calibri"/>
                <w:b/>
                <w:bCs/>
                <w:color w:val="0D1E3A"/>
                <w:sz w:val="19"/>
                <w:szCs w:val="19"/>
              </w:rPr>
              <w:t xml:space="preserve">Observer-Only</w:t>
            </w:r>
          </w:p>
        </w:tc>
        <w:tc>
          <w:tcPr>
            <w:tcW w:type="dxa" w:w="6946"/>
            <w:tcBorders>
              <w:top w:val="single" w:color="D0D4DC" w:sz="4"/>
              <w:left w:val="single" w:color="D0D4DC" w:sz="4"/>
              <w:bottom w:val="single" w:color="D0D4DC" w:sz="4"/>
              <w:right w:val="single" w:color="D0D4DC" w:sz="4"/>
            </w:tcBorders>
            <w:shd w:fill="F2F4F7" w:val="clear"/>
            <w:tcMar>
              <w:top w:type="dxa" w:w="100"/>
              <w:left w:type="dxa" w:w="120"/>
              <w:bottom w:type="dxa" w:w="100"/>
              <w:right w:type="dxa" w:w="120"/>
            </w:tcMar>
            <w:vAlign w:val="top"/>
          </w:tcPr>
          <w:p>
            <w:pPr>
              <w:spacing w:after="60" w:before="60"/>
              <w:jc w:val="left"/>
            </w:pPr>
            <w:r>
              <w:rPr>
                <w:rFonts w:ascii="Calibri" w:cs="Calibri" w:eastAsia="Calibri" w:hAnsi="Calibri"/>
                <w:color w:val="1A1A2E"/>
                <w:sz w:val="19"/>
                <w:szCs w:val="19"/>
              </w:rPr>
              <w:t xml:space="preserve">Non-predictive; captures what happened, never what will happen. The LTR is a fact record, not a signal.</w:t>
            </w:r>
          </w:p>
        </w:tc>
      </w:tr>
      <w:tr>
        <w:tc>
          <w:tcPr>
            <w:tcW w:type="dxa" w:w="2800"/>
            <w:tcBorders>
              <w:top w:val="single" w:color="D0D4DC" w:sz="4"/>
              <w:left w:val="single" w:color="D0D4DC" w:sz="4"/>
              <w:bottom w:val="single" w:color="D0D4DC" w:sz="4"/>
              <w:right w:val="single" w:color="D0D4DC" w:sz="4"/>
            </w:tcBorders>
            <w:shd w:fill="F8F9FB" w:val="clear"/>
            <w:tcMar>
              <w:top w:type="dxa" w:w="100"/>
              <w:left w:type="dxa" w:w="120"/>
              <w:bottom w:type="dxa" w:w="100"/>
              <w:right w:type="dxa" w:w="120"/>
            </w:tcMar>
            <w:vAlign w:val="top"/>
          </w:tcPr>
          <w:p>
            <w:pPr>
              <w:spacing w:after="60" w:before="60"/>
              <w:jc w:val="left"/>
            </w:pPr>
            <w:r>
              <w:rPr>
                <w:rFonts w:ascii="Calibri" w:cs="Calibri" w:eastAsia="Calibri" w:hAnsi="Calibri"/>
                <w:b/>
                <w:bCs/>
                <w:color w:val="0D1E3A"/>
                <w:sz w:val="19"/>
                <w:szCs w:val="19"/>
              </w:rPr>
              <w:t xml:space="preserve">Canonical</w:t>
            </w:r>
          </w:p>
        </w:tc>
        <w:tc>
          <w:tcPr>
            <w:tcW w:type="dxa" w:w="6946"/>
            <w:tcBorders>
              <w:top w:val="single" w:color="D0D4DC" w:sz="4"/>
              <w:left w:val="single" w:color="D0D4DC" w:sz="4"/>
              <w:bottom w:val="single" w:color="D0D4DC" w:sz="4"/>
              <w:right w:val="single" w:color="D0D4DC" w:sz="4"/>
            </w:tcBorders>
            <w:shd w:fill="FFFFFF" w:val="clear"/>
            <w:tcMar>
              <w:top w:type="dxa" w:w="100"/>
              <w:left w:type="dxa" w:w="120"/>
              <w:bottom w:type="dxa" w:w="100"/>
              <w:right w:type="dxa" w:w="120"/>
            </w:tcMar>
            <w:vAlign w:val="top"/>
          </w:tcPr>
          <w:p>
            <w:pPr>
              <w:spacing w:after="60" w:before="60"/>
              <w:jc w:val="left"/>
            </w:pPr>
            <w:r>
              <w:rPr>
                <w:rFonts w:ascii="Calibri" w:cs="Calibri" w:eastAsia="Calibri" w:hAnsi="Calibri"/>
                <w:color w:val="1A1A2E"/>
                <w:sz w:val="19"/>
                <w:szCs w:val="19"/>
              </w:rPr>
              <w:t xml:space="preserve">One schema governs all event types across all venue categories. Eliminates venue-specific fragmentation.</w:t>
            </w:r>
          </w:p>
        </w:tc>
      </w:tr>
      <w:tr>
        <w:tc>
          <w:tcPr>
            <w:tcW w:type="dxa" w:w="2800"/>
            <w:tcBorders>
              <w:top w:val="single" w:color="D0D4DC" w:sz="4"/>
              <w:left w:val="single" w:color="D0D4DC" w:sz="4"/>
              <w:bottom w:val="single" w:color="D0D4DC" w:sz="4"/>
              <w:right w:val="single" w:color="D0D4DC" w:sz="4"/>
            </w:tcBorders>
            <w:shd w:fill="EEF2F8" w:val="clear"/>
            <w:tcMar>
              <w:top w:type="dxa" w:w="100"/>
              <w:left w:type="dxa" w:w="120"/>
              <w:bottom w:type="dxa" w:w="100"/>
              <w:right w:type="dxa" w:w="120"/>
            </w:tcMar>
            <w:vAlign w:val="top"/>
          </w:tcPr>
          <w:p>
            <w:pPr>
              <w:spacing w:after="60" w:before="60"/>
              <w:jc w:val="left"/>
            </w:pPr>
            <w:r>
              <w:rPr>
                <w:rFonts w:ascii="Calibri" w:cs="Calibri" w:eastAsia="Calibri" w:hAnsi="Calibri"/>
                <w:b/>
                <w:bCs/>
                <w:color w:val="0D1E3A"/>
                <w:sz w:val="19"/>
                <w:szCs w:val="19"/>
              </w:rPr>
              <w:t xml:space="preserve">Verifiable</w:t>
            </w:r>
          </w:p>
        </w:tc>
        <w:tc>
          <w:tcPr>
            <w:tcW w:type="dxa" w:w="6946"/>
            <w:tcBorders>
              <w:top w:val="single" w:color="D0D4DC" w:sz="4"/>
              <w:left w:val="single" w:color="D0D4DC" w:sz="4"/>
              <w:bottom w:val="single" w:color="D0D4DC" w:sz="4"/>
              <w:right w:val="single" w:color="D0D4DC" w:sz="4"/>
            </w:tcBorders>
            <w:shd w:fill="F2F4F7" w:val="clear"/>
            <w:tcMar>
              <w:top w:type="dxa" w:w="100"/>
              <w:left w:type="dxa" w:w="120"/>
              <w:bottom w:type="dxa" w:w="100"/>
              <w:right w:type="dxa" w:w="120"/>
            </w:tcMar>
            <w:vAlign w:val="top"/>
          </w:tcPr>
          <w:p>
            <w:pPr>
              <w:spacing w:after="60" w:before="60"/>
              <w:jc w:val="left"/>
            </w:pPr>
            <w:r>
              <w:rPr>
                <w:rFonts w:ascii="Calibri" w:cs="Calibri" w:eastAsia="Calibri" w:hAnsi="Calibri"/>
                <w:color w:val="1A1A2E"/>
                <w:sz w:val="19"/>
                <w:szCs w:val="19"/>
              </w:rPr>
              <w:t xml:space="preserve">MiFID-like audit trail with full provenance. Supports regulatory examination and deterministic replay.</w:t>
            </w:r>
          </w:p>
        </w:tc>
      </w:tr>
      <w:tr>
        <w:tc>
          <w:tcPr>
            <w:tcW w:type="dxa" w:w="2800"/>
            <w:tcBorders>
              <w:top w:val="single" w:color="D0D4DC" w:sz="4"/>
              <w:left w:val="single" w:color="D0D4DC" w:sz="4"/>
              <w:bottom w:val="single" w:color="D0D4DC" w:sz="4"/>
              <w:right w:val="single" w:color="D0D4DC" w:sz="4"/>
            </w:tcBorders>
            <w:shd w:fill="F8F9FB" w:val="clear"/>
            <w:tcMar>
              <w:top w:type="dxa" w:w="100"/>
              <w:left w:type="dxa" w:w="120"/>
              <w:bottom w:type="dxa" w:w="100"/>
              <w:right w:type="dxa" w:w="120"/>
            </w:tcMar>
            <w:vAlign w:val="top"/>
          </w:tcPr>
          <w:p>
            <w:pPr>
              <w:spacing w:after="60" w:before="60"/>
              <w:jc w:val="left"/>
            </w:pPr>
            <w:r>
              <w:rPr>
                <w:rFonts w:ascii="Calibri" w:cs="Calibri" w:eastAsia="Calibri" w:hAnsi="Calibri"/>
                <w:b/>
                <w:bCs/>
                <w:color w:val="0D1E3A"/>
                <w:sz w:val="19"/>
                <w:szCs w:val="19"/>
              </w:rPr>
              <w:t xml:space="preserve">Extensible</w:t>
            </w:r>
          </w:p>
        </w:tc>
        <w:tc>
          <w:tcPr>
            <w:tcW w:type="dxa" w:w="6946"/>
            <w:tcBorders>
              <w:top w:val="single" w:color="D0D4DC" w:sz="4"/>
              <w:left w:val="single" w:color="D0D4DC" w:sz="4"/>
              <w:bottom w:val="single" w:color="D0D4DC" w:sz="4"/>
              <w:right w:val="single" w:color="D0D4DC" w:sz="4"/>
            </w:tcBorders>
            <w:shd w:fill="FFFFFF" w:val="clear"/>
            <w:tcMar>
              <w:top w:type="dxa" w:w="100"/>
              <w:left w:type="dxa" w:w="120"/>
              <w:bottom w:type="dxa" w:w="100"/>
              <w:right w:type="dxa" w:w="120"/>
            </w:tcMar>
            <w:vAlign w:val="top"/>
          </w:tcPr>
          <w:p>
            <w:pPr>
              <w:spacing w:after="60" w:before="60"/>
              <w:jc w:val="left"/>
            </w:pPr>
            <w:r>
              <w:rPr>
                <w:rFonts w:ascii="Calibri" w:cs="Calibri" w:eastAsia="Calibri" w:hAnsi="Calibri"/>
                <w:color w:val="1A1A2E"/>
                <w:sz w:val="19"/>
                <w:szCs w:val="19"/>
              </w:rPr>
              <w:t xml:space="preserve">Supports new event types and venue categories without breaking existing consumers. MINOR versions are backward-compatible.</w:t>
            </w:r>
          </w:p>
        </w:tc>
      </w:tr>
    </w:tbl>
    <w:p>
      <w:pPr>
        <w:spacing w:after="100" w:before="100"/>
      </w:pPr>
    </w:p>
    <w:p>
      <w:pPr>
        <w:pStyle w:val="Heading2"/>
        <w:spacing w:after="80" w:before="220"/>
      </w:pPr>
      <w:r>
        <w:rPr>
          <w:rFonts w:ascii="Calibri" w:cs="Calibri" w:eastAsia="Calibri" w:hAnsi="Calibri"/>
          <w:b/>
          <w:bCs/>
          <w:color w:val="1B4F8A"/>
          <w:sz w:val="24"/>
          <w:szCs w:val="24"/>
        </w:rPr>
        <w:t xml:space="preserve">4.2 Canonical Event Schema</w:t>
      </w:r>
    </w:p>
    <w:p>
      <w:pPr>
        <w:spacing w:after="50" w:before="5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0D1E3A" w:val="clear"/>
            <w:tcMar>
              <w:top w:type="dxa" w:w="100"/>
              <w:left w:type="dxa" w:w="120"/>
              <w:bottom w:type="dxa" w:w="100"/>
              <w:right w:type="dxa" w:w="120"/>
            </w:tcMar>
            <w:vAlign w:val="top"/>
          </w:tcPr>
          <w:p>
            <w:pPr>
              <w:spacing w:after="60" w:before="60"/>
              <w:jc w:val="left"/>
            </w:pPr>
            <w:r>
              <w:rPr>
                <w:rFonts w:ascii="Courier New" w:cs="Courier New" w:eastAsia="Courier New" w:hAnsi="Courier New"/>
                <w:color w:val="E8F0F8"/>
                <w:sz w:val="17"/>
                <w:szCs w:val="17"/>
              </w:rPr>
              <w:t xml:space="preserve">LiquidityTapeEvent {</w:t>
            </w:r>
          </w:p>
          <w:p>
            <w:pPr>
              <w:spacing w:after="60" w:before="60"/>
              <w:jc w:val="left"/>
            </w:pPr>
            <w:r>
              <w:rPr>
                <w:rFonts w:ascii="Courier New" w:cs="Courier New" w:eastAsia="Courier New" w:hAnsi="Courier New"/>
                <w:color w:val="E8F0F8"/>
                <w:sz w:val="17"/>
                <w:szCs w:val="17"/>
              </w:rPr>
              <w:t xml:space="preserve">  event_id:     string               // globally unique event identifier (UUID v4)</w:t>
            </w:r>
          </w:p>
          <w:p>
            <w:pPr>
              <w:spacing w:after="60" w:before="60"/>
              <w:jc w:val="left"/>
            </w:pPr>
            <w:r>
              <w:rPr>
                <w:rFonts w:ascii="Courier New" w:cs="Courier New" w:eastAsia="Courier New" w:hAnsi="Courier New"/>
                <w:color w:val="E8F0F8"/>
                <w:sz w:val="17"/>
                <w:szCs w:val="17"/>
              </w:rPr>
              <w:t xml:space="preserve">  asset_id:     string               // canonical asset UUID (Stratalink symbol registry)</w:t>
            </w:r>
          </w:p>
          <w:p>
            <w:pPr>
              <w:spacing w:after="60" w:before="60"/>
              <w:jc w:val="left"/>
            </w:pPr>
            <w:r>
              <w:rPr>
                <w:rFonts w:ascii="Courier New" w:cs="Courier New" w:eastAsia="Courier New" w:hAnsi="Courier New"/>
                <w:color w:val="E8F0F8"/>
                <w:sz w:val="17"/>
                <w:szCs w:val="17"/>
              </w:rPr>
              <w:t xml:space="preserve">  venue_id:     string               // canonical venue identifier</w:t>
            </w:r>
          </w:p>
          <w:p>
            <w:pPr>
              <w:spacing w:after="60" w:before="60"/>
              <w:jc w:val="left"/>
            </w:pPr>
            <w:r>
              <w:rPr>
                <w:rFonts w:ascii="Courier New" w:cs="Courier New" w:eastAsia="Courier New" w:hAnsi="Courier New"/>
                <w:color w:val="E8F0F8"/>
                <w:sz w:val="17"/>
                <w:szCs w:val="17"/>
              </w:rPr>
              <w:t xml:space="preserve">  event_type:   string               // DEPTH_UPDATE | BBO_UPDATE | TRADE | VENUE_STATUS</w:t>
            </w:r>
          </w:p>
          <w:p>
            <w:pPr>
              <w:spacing w:after="60" w:before="60"/>
              <w:jc w:val="left"/>
            </w:pPr>
            <w:r>
              <w:rPr>
                <w:rFonts w:ascii="Courier New" w:cs="Courier New" w:eastAsia="Courier New" w:hAnsi="Courier New"/>
                <w:color w:val="E8F0F8"/>
                <w:sz w:val="17"/>
                <w:szCs w:val="17"/>
              </w:rPr>
              <w:t xml:space="preserve">  captured_at:  number               // microsecond-precision UTC timestamp (ingestion)</w:t>
            </w:r>
          </w:p>
          <w:p>
            <w:pPr>
              <w:spacing w:after="60" w:before="60"/>
              <w:jc w:val="left"/>
            </w:pPr>
            <w:r>
              <w:rPr>
                <w:rFonts w:ascii="Courier New" w:cs="Courier New" w:eastAsia="Courier New" w:hAnsi="Courier New"/>
                <w:color w:val="E8F0F8"/>
                <w:sz w:val="17"/>
                <w:szCs w:val="17"/>
              </w:rPr>
              <w:t xml:space="preserve">  source_type:  string               // LIT_ORDERBOOK | RFQ_OTC | AMM_DERIVED</w:t>
            </w:r>
          </w:p>
          <w:p>
            <w:pPr>
              <w:spacing w:after="60" w:before="60"/>
              <w:jc w:val="left"/>
            </w:pPr>
            <w:r>
              <w:rPr>
                <w:rFonts w:ascii="Courier New" w:cs="Courier New" w:eastAsia="Courier New" w:hAnsi="Courier New"/>
                <w:color w:val="E8F0F8"/>
                <w:sz w:val="17"/>
                <w:szCs w:val="17"/>
              </w:rPr>
              <w:t xml:space="preserve">  payload:      object               // type-specific payload (see Section 5)</w:t>
            </w:r>
          </w:p>
          <w:p>
            <w:pPr>
              <w:spacing w:after="60" w:before="60"/>
              <w:jc w:val="left"/>
            </w:pPr>
            <w:r>
              <w:rPr>
                <w:rFonts w:ascii="Courier New" w:cs="Courier New" w:eastAsia="Courier New" w:hAnsi="Courier New"/>
                <w:color w:val="E8F0F8"/>
                <w:sz w:val="17"/>
                <w:szCs w:val="17"/>
              </w:rPr>
              <w:t xml:space="preserve">  provenance: {</w:t>
            </w:r>
          </w:p>
          <w:p>
            <w:pPr>
              <w:spacing w:after="60" w:before="60"/>
              <w:jc w:val="left"/>
            </w:pPr>
            <w:r>
              <w:rPr>
                <w:rFonts w:ascii="Courier New" w:cs="Courier New" w:eastAsia="Courier New" w:hAnsi="Courier New"/>
                <w:color w:val="E8F0F8"/>
                <w:sz w:val="17"/>
                <w:szCs w:val="17"/>
              </w:rPr>
              <w:t xml:space="preserve">    sourceVenue:  string             // originating venue name</w:t>
            </w:r>
          </w:p>
          <w:p>
            <w:pPr>
              <w:spacing w:after="60" w:before="60"/>
              <w:jc w:val="left"/>
            </w:pPr>
            <w:r>
              <w:rPr>
                <w:rFonts w:ascii="Courier New" w:cs="Courier New" w:eastAsia="Courier New" w:hAnsi="Courier New"/>
                <w:color w:val="E8F0F8"/>
                <w:sz w:val="17"/>
                <w:szCs w:val="17"/>
              </w:rPr>
              <w:t xml:space="preserve">    transport:    'direct' | 'relay' // ingestion method</w:t>
            </w:r>
          </w:p>
          <w:p>
            <w:pPr>
              <w:spacing w:after="60" w:before="60"/>
              <w:jc w:val="left"/>
            </w:pPr>
            <w:r>
              <w:rPr>
                <w:rFonts w:ascii="Courier New" w:cs="Courier New" w:eastAsia="Courier New" w:hAnsi="Courier New"/>
                <w:color w:val="E8F0F8"/>
                <w:sz w:val="17"/>
                <w:szCs w:val="17"/>
              </w:rPr>
              <w:t xml:space="preserve">    engine:       string             // ingestion engine version</w:t>
            </w:r>
          </w:p>
          <w:p>
            <w:pPr>
              <w:spacing w:after="60" w:before="60"/>
              <w:jc w:val="left"/>
            </w:pPr>
            <w:r>
              <w:rPr>
                <w:rFonts w:ascii="Courier New" w:cs="Courier New" w:eastAsia="Courier New" w:hAnsi="Courier New"/>
                <w:color w:val="E8F0F8"/>
                <w:sz w:val="17"/>
                <w:szCs w:val="17"/>
              </w:rPr>
              <w:t xml:space="preserve">    dactVersion:  string             // DACT version at ingestion</w:t>
            </w:r>
          </w:p>
          <w:p>
            <w:pPr>
              <w:spacing w:after="60" w:before="60"/>
              <w:jc w:val="left"/>
            </w:pPr>
            <w:r>
              <w:rPr>
                <w:rFonts w:ascii="Courier New" w:cs="Courier New" w:eastAsia="Courier New" w:hAnsi="Courier New"/>
                <w:color w:val="E8F0F8"/>
                <w:sz w:val="17"/>
                <w:szCs w:val="17"/>
              </w:rPr>
              <w:t xml:space="preserve">    latencyMs:    number             // observed venue-to-DACT latency</w:t>
            </w:r>
          </w:p>
          <w:p>
            <w:pPr>
              <w:spacing w:after="60" w:before="60"/>
              <w:jc w:val="left"/>
            </w:pPr>
            <w:r>
              <w:rPr>
                <w:rFonts w:ascii="Courier New" w:cs="Courier New" w:eastAsia="Courier New" w:hAnsi="Courier New"/>
                <w:color w:val="E8F0F8"/>
                <w:sz w:val="17"/>
                <w:szCs w:val="17"/>
              </w:rPr>
              <w:t xml:space="preserve">  }</w:t>
            </w:r>
          </w:p>
          <w:p>
            <w:pPr>
              <w:spacing w:after="60" w:before="60"/>
              <w:jc w:val="left"/>
            </w:pPr>
            <w:r>
              <w:rPr>
                <w:rFonts w:ascii="Courier New" w:cs="Courier New" w:eastAsia="Courier New" w:hAnsi="Courier New"/>
                <w:color w:val="E8F0F8"/>
                <w:sz w:val="17"/>
                <w:szCs w:val="17"/>
              </w:rPr>
              <w:t xml:space="preserve">}</w:t>
            </w:r>
          </w:p>
        </w:tc>
      </w:tr>
    </w:tbl>
    <w:p>
      <w:pPr>
        <w:spacing w:after="150" w:before="15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00"/>
        <w:gridCol w:w="8346"/>
      </w:tblGrid>
      <w:tr>
        <w:tc>
          <w:tcPr>
            <w:tcW w:type="dxa" w:w="1400"/>
            <w:tcBorders>
              <w:top w:val="none" w:color="FFFFFF" w:sz="0"/>
              <w:left w:val="none" w:color="FFFFFF" w:sz="0"/>
              <w:bottom w:val="none" w:color="FFFFFF" w:sz="0"/>
              <w:right w:val="none" w:color="FFFFFF" w:sz="0"/>
            </w:tcBorders>
            <w:shd w:fill="0D1E3A" w:val="clear"/>
            <w:tcMar>
              <w:top w:type="dxa" w:w="100"/>
              <w:left w:type="dxa" w:w="120"/>
              <w:bottom w:type="dxa" w:w="100"/>
              <w:right w:type="dxa" w:w="120"/>
            </w:tcMar>
            <w:vAlign w:val="top"/>
          </w:tcPr>
          <w:p>
            <w:pPr>
              <w:spacing w:after="60" w:before="60"/>
              <w:jc w:val="left"/>
            </w:pPr>
            <w:r>
              <w:rPr>
                <w:rFonts w:ascii="Calibri" w:cs="Calibri" w:eastAsia="Calibri" w:hAnsi="Calibri"/>
                <w:b/>
                <w:bCs/>
                <w:color w:val="FFFFFF"/>
                <w:sz w:val="18"/>
                <w:szCs w:val="18"/>
              </w:rPr>
              <w:t xml:space="preserve">NORMATIVE: SCHEMA CONFORMANCE</w:t>
            </w:r>
          </w:p>
        </w:tc>
        <w:tc>
          <w:tcPr>
            <w:tcW w:type="dxa" w:w="8346"/>
            <w:tcBorders>
              <w:top w:val="none" w:color="FFFFFF" w:sz="0"/>
              <w:left w:val="none" w:color="FFFFFF" w:sz="0"/>
              <w:bottom w:val="none" w:color="FFFFFF" w:sz="0"/>
              <w:right w:val="none" w:color="FFFFFF" w:sz="0"/>
            </w:tcBorders>
            <w:shd w:fill="E8EEF5" w:val="clear"/>
            <w:tcMar>
              <w:top w:type="dxa" w:w="100"/>
              <w:left w:type="dxa" w:w="120"/>
              <w:bottom w:type="dxa" w:w="100"/>
              <w:right w:type="dxa" w:w="120"/>
            </w:tcMar>
            <w:vAlign w:val="top"/>
          </w:tcPr>
          <w:p>
            <w:pPr>
              <w:spacing w:after="60" w:before="60"/>
              <w:jc w:val="left"/>
            </w:pPr>
            <w:r>
              <w:rPr>
                <w:rFonts w:ascii="Calibri" w:cs="Calibri" w:eastAsia="Calibri" w:hAnsi="Calibri"/>
                <w:color w:val="1A1A2E"/>
                <w:sz w:val="19"/>
                <w:szCs w:val="19"/>
              </w:rPr>
              <w:t xml:space="preserve">All liquidity events ingested into DACT SHALL conform to the LTR canonical schema. Events failing schema validation SHALL be rejected and logged as rejected events. Non-conforming events SHALL NOT propagate to downstream layers. Rejected events MUST be retained in a separate rejection log for audit purposes.</w:t>
            </w:r>
          </w:p>
        </w:tc>
      </w:tr>
    </w:tbl>
    <w:p>
      <w:pPr>
        <w:spacing w:after="100" w:before="100"/>
      </w:pPr>
    </w:p>
    <w:p>
      <w:pPr>
        <w:pStyle w:val="Heading2"/>
        <w:spacing w:after="80" w:before="220"/>
      </w:pPr>
      <w:r>
        <w:rPr>
          <w:rFonts w:ascii="Calibri" w:cs="Calibri" w:eastAsia="Calibri" w:hAnsi="Calibri"/>
          <w:b/>
          <w:bCs/>
          <w:color w:val="1B4F8A"/>
          <w:sz w:val="24"/>
          <w:szCs w:val="24"/>
        </w:rPr>
        <w:t xml:space="preserve">4.3 Required Fields</w:t>
      </w:r>
    </w:p>
    <w:p>
      <w:pPr>
        <w:spacing w:after="50" w:before="5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6946"/>
      </w:tblGrid>
      <w:tr>
        <w:tc>
          <w:tcPr>
            <w:tcW w:type="dxa" w:w="2800"/>
            <w:tcBorders>
              <w:top w:val="single" w:color="D0D4DC" w:sz="4"/>
              <w:left w:val="single" w:color="D0D4DC" w:sz="4"/>
              <w:bottom w:val="single" w:color="D0D4DC" w:sz="4"/>
              <w:right w:val="single" w:color="D0D4DC" w:sz="4"/>
            </w:tcBorders>
            <w:shd w:fill="EEF2F8" w:val="clear"/>
            <w:tcMar>
              <w:top w:type="dxa" w:w="100"/>
              <w:left w:type="dxa" w:w="120"/>
              <w:bottom w:type="dxa" w:w="100"/>
              <w:right w:type="dxa" w:w="120"/>
            </w:tcMar>
            <w:vAlign w:val="top"/>
          </w:tcPr>
          <w:p>
            <w:pPr>
              <w:spacing w:after="60" w:before="60"/>
              <w:jc w:val="left"/>
            </w:pPr>
            <w:r>
              <w:rPr>
                <w:rFonts w:ascii="Calibri" w:cs="Calibri" w:eastAsia="Calibri" w:hAnsi="Calibri"/>
                <w:b/>
                <w:bCs/>
                <w:color w:val="0D1E3A"/>
                <w:sz w:val="19"/>
                <w:szCs w:val="19"/>
              </w:rPr>
              <w:t xml:space="preserve">event_id</w:t>
            </w:r>
          </w:p>
        </w:tc>
        <w:tc>
          <w:tcPr>
            <w:tcW w:type="dxa" w:w="6946"/>
            <w:tcBorders>
              <w:top w:val="single" w:color="D0D4DC" w:sz="4"/>
              <w:left w:val="single" w:color="D0D4DC" w:sz="4"/>
              <w:bottom w:val="single" w:color="D0D4DC" w:sz="4"/>
              <w:right w:val="single" w:color="D0D4DC" w:sz="4"/>
            </w:tcBorders>
            <w:shd w:fill="F2F4F7" w:val="clear"/>
            <w:tcMar>
              <w:top w:type="dxa" w:w="100"/>
              <w:left w:type="dxa" w:w="120"/>
              <w:bottom w:type="dxa" w:w="100"/>
              <w:right w:type="dxa" w:w="120"/>
            </w:tcMar>
            <w:vAlign w:val="top"/>
          </w:tcPr>
          <w:p>
            <w:pPr>
              <w:spacing w:after="60" w:before="60"/>
              <w:jc w:val="left"/>
            </w:pPr>
            <w:r>
              <w:rPr>
                <w:rFonts w:ascii="Calibri" w:cs="Calibri" w:eastAsia="Calibri" w:hAnsi="Calibri"/>
                <w:color w:val="1A1A2E"/>
                <w:sz w:val="19"/>
                <w:szCs w:val="19"/>
              </w:rPr>
              <w:t xml:space="preserve">Globally unique identifier. UUID v4. Generated by DACT at ingestion. MUST be immutable.</w:t>
            </w:r>
          </w:p>
        </w:tc>
      </w:tr>
      <w:tr>
        <w:tc>
          <w:tcPr>
            <w:tcW w:type="dxa" w:w="2800"/>
            <w:tcBorders>
              <w:top w:val="single" w:color="D0D4DC" w:sz="4"/>
              <w:left w:val="single" w:color="D0D4DC" w:sz="4"/>
              <w:bottom w:val="single" w:color="D0D4DC" w:sz="4"/>
              <w:right w:val="single" w:color="D0D4DC" w:sz="4"/>
            </w:tcBorders>
            <w:shd w:fill="F8F9FB" w:val="clear"/>
            <w:tcMar>
              <w:top w:type="dxa" w:w="100"/>
              <w:left w:type="dxa" w:w="120"/>
              <w:bottom w:type="dxa" w:w="100"/>
              <w:right w:type="dxa" w:w="120"/>
            </w:tcMar>
            <w:vAlign w:val="top"/>
          </w:tcPr>
          <w:p>
            <w:pPr>
              <w:spacing w:after="60" w:before="60"/>
              <w:jc w:val="left"/>
            </w:pPr>
            <w:r>
              <w:rPr>
                <w:rFonts w:ascii="Calibri" w:cs="Calibri" w:eastAsia="Calibri" w:hAnsi="Calibri"/>
                <w:b/>
                <w:bCs/>
                <w:color w:val="0D1E3A"/>
                <w:sz w:val="19"/>
                <w:szCs w:val="19"/>
              </w:rPr>
              <w:t xml:space="preserve">asset_id</w:t>
            </w:r>
          </w:p>
        </w:tc>
        <w:tc>
          <w:tcPr>
            <w:tcW w:type="dxa" w:w="6946"/>
            <w:tcBorders>
              <w:top w:val="single" w:color="D0D4DC" w:sz="4"/>
              <w:left w:val="single" w:color="D0D4DC" w:sz="4"/>
              <w:bottom w:val="single" w:color="D0D4DC" w:sz="4"/>
              <w:right w:val="single" w:color="D0D4DC" w:sz="4"/>
            </w:tcBorders>
            <w:shd w:fill="FFFFFF" w:val="clear"/>
            <w:tcMar>
              <w:top w:type="dxa" w:w="100"/>
              <w:left w:type="dxa" w:w="120"/>
              <w:bottom w:type="dxa" w:w="100"/>
              <w:right w:type="dxa" w:w="120"/>
            </w:tcMar>
            <w:vAlign w:val="top"/>
          </w:tcPr>
          <w:p>
            <w:pPr>
              <w:spacing w:after="60" w:before="60"/>
              <w:jc w:val="left"/>
            </w:pPr>
            <w:r>
              <w:rPr>
                <w:rFonts w:ascii="Calibri" w:cs="Calibri" w:eastAsia="Calibri" w:hAnsi="Calibri"/>
                <w:color w:val="1A1A2E"/>
                <w:sz w:val="19"/>
                <w:szCs w:val="19"/>
              </w:rPr>
              <w:t xml:space="preserve">Canonical asset UUID from the Stratalink symbol registry. MUST resolve to a known asset.</w:t>
            </w:r>
          </w:p>
        </w:tc>
      </w:tr>
      <w:tr>
        <w:tc>
          <w:tcPr>
            <w:tcW w:type="dxa" w:w="2800"/>
            <w:tcBorders>
              <w:top w:val="single" w:color="D0D4DC" w:sz="4"/>
              <w:left w:val="single" w:color="D0D4DC" w:sz="4"/>
              <w:bottom w:val="single" w:color="D0D4DC" w:sz="4"/>
              <w:right w:val="single" w:color="D0D4DC" w:sz="4"/>
            </w:tcBorders>
            <w:shd w:fill="EEF2F8" w:val="clear"/>
            <w:tcMar>
              <w:top w:type="dxa" w:w="100"/>
              <w:left w:type="dxa" w:w="120"/>
              <w:bottom w:type="dxa" w:w="100"/>
              <w:right w:type="dxa" w:w="120"/>
            </w:tcMar>
            <w:vAlign w:val="top"/>
          </w:tcPr>
          <w:p>
            <w:pPr>
              <w:spacing w:after="60" w:before="60"/>
              <w:jc w:val="left"/>
            </w:pPr>
            <w:r>
              <w:rPr>
                <w:rFonts w:ascii="Calibri" w:cs="Calibri" w:eastAsia="Calibri" w:hAnsi="Calibri"/>
                <w:b/>
                <w:bCs/>
                <w:color w:val="0D1E3A"/>
                <w:sz w:val="19"/>
                <w:szCs w:val="19"/>
              </w:rPr>
              <w:t xml:space="preserve">venue_id</w:t>
            </w:r>
          </w:p>
        </w:tc>
        <w:tc>
          <w:tcPr>
            <w:tcW w:type="dxa" w:w="6946"/>
            <w:tcBorders>
              <w:top w:val="single" w:color="D0D4DC" w:sz="4"/>
              <w:left w:val="single" w:color="D0D4DC" w:sz="4"/>
              <w:bottom w:val="single" w:color="D0D4DC" w:sz="4"/>
              <w:right w:val="single" w:color="D0D4DC" w:sz="4"/>
            </w:tcBorders>
            <w:shd w:fill="F2F4F7" w:val="clear"/>
            <w:tcMar>
              <w:top w:type="dxa" w:w="100"/>
              <w:left w:type="dxa" w:w="120"/>
              <w:bottom w:type="dxa" w:w="100"/>
              <w:right w:type="dxa" w:w="120"/>
            </w:tcMar>
            <w:vAlign w:val="top"/>
          </w:tcPr>
          <w:p>
            <w:pPr>
              <w:spacing w:after="60" w:before="60"/>
              <w:jc w:val="left"/>
            </w:pPr>
            <w:r>
              <w:rPr>
                <w:rFonts w:ascii="Calibri" w:cs="Calibri" w:eastAsia="Calibri" w:hAnsi="Calibri"/>
                <w:color w:val="1A1A2E"/>
                <w:sz w:val="19"/>
                <w:szCs w:val="19"/>
              </w:rPr>
              <w:t xml:space="preserve">Canonical venue identifier. MUST resolve to a known venue in the Declared Supervisory Universe.</w:t>
            </w:r>
          </w:p>
        </w:tc>
      </w:tr>
      <w:tr>
        <w:tc>
          <w:tcPr>
            <w:tcW w:type="dxa" w:w="2800"/>
            <w:tcBorders>
              <w:top w:val="single" w:color="D0D4DC" w:sz="4"/>
              <w:left w:val="single" w:color="D0D4DC" w:sz="4"/>
              <w:bottom w:val="single" w:color="D0D4DC" w:sz="4"/>
              <w:right w:val="single" w:color="D0D4DC" w:sz="4"/>
            </w:tcBorders>
            <w:shd w:fill="F8F9FB" w:val="clear"/>
            <w:tcMar>
              <w:top w:type="dxa" w:w="100"/>
              <w:left w:type="dxa" w:w="120"/>
              <w:bottom w:type="dxa" w:w="100"/>
              <w:right w:type="dxa" w:w="120"/>
            </w:tcMar>
            <w:vAlign w:val="top"/>
          </w:tcPr>
          <w:p>
            <w:pPr>
              <w:spacing w:after="60" w:before="60"/>
              <w:jc w:val="left"/>
            </w:pPr>
            <w:r>
              <w:rPr>
                <w:rFonts w:ascii="Calibri" w:cs="Calibri" w:eastAsia="Calibri" w:hAnsi="Calibri"/>
                <w:b/>
                <w:bCs/>
                <w:color w:val="0D1E3A"/>
                <w:sz w:val="19"/>
                <w:szCs w:val="19"/>
              </w:rPr>
              <w:t xml:space="preserve">event_type</w:t>
            </w:r>
          </w:p>
        </w:tc>
        <w:tc>
          <w:tcPr>
            <w:tcW w:type="dxa" w:w="6946"/>
            <w:tcBorders>
              <w:top w:val="single" w:color="D0D4DC" w:sz="4"/>
              <w:left w:val="single" w:color="D0D4DC" w:sz="4"/>
              <w:bottom w:val="single" w:color="D0D4DC" w:sz="4"/>
              <w:right w:val="single" w:color="D0D4DC" w:sz="4"/>
            </w:tcBorders>
            <w:shd w:fill="FFFFFF" w:val="clear"/>
            <w:tcMar>
              <w:top w:type="dxa" w:w="100"/>
              <w:left w:type="dxa" w:w="120"/>
              <w:bottom w:type="dxa" w:w="100"/>
              <w:right w:type="dxa" w:w="120"/>
            </w:tcMar>
            <w:vAlign w:val="top"/>
          </w:tcPr>
          <w:p>
            <w:pPr>
              <w:spacing w:after="60" w:before="60"/>
              <w:jc w:val="left"/>
            </w:pPr>
            <w:r>
              <w:rPr>
                <w:rFonts w:ascii="Calibri" w:cs="Calibri" w:eastAsia="Calibri" w:hAnsi="Calibri"/>
                <w:color w:val="1A1A2E"/>
                <w:sz w:val="19"/>
                <w:szCs w:val="19"/>
              </w:rPr>
              <w:t xml:space="preserve">One of the four canonical types. Unrecognised types MUST be rejected.</w:t>
            </w:r>
          </w:p>
        </w:tc>
      </w:tr>
      <w:tr>
        <w:tc>
          <w:tcPr>
            <w:tcW w:type="dxa" w:w="2800"/>
            <w:tcBorders>
              <w:top w:val="single" w:color="D0D4DC" w:sz="4"/>
              <w:left w:val="single" w:color="D0D4DC" w:sz="4"/>
              <w:bottom w:val="single" w:color="D0D4DC" w:sz="4"/>
              <w:right w:val="single" w:color="D0D4DC" w:sz="4"/>
            </w:tcBorders>
            <w:shd w:fill="EEF2F8" w:val="clear"/>
            <w:tcMar>
              <w:top w:type="dxa" w:w="100"/>
              <w:left w:type="dxa" w:w="120"/>
              <w:bottom w:type="dxa" w:w="100"/>
              <w:right w:type="dxa" w:w="120"/>
            </w:tcMar>
            <w:vAlign w:val="top"/>
          </w:tcPr>
          <w:p>
            <w:pPr>
              <w:spacing w:after="60" w:before="60"/>
              <w:jc w:val="left"/>
            </w:pPr>
            <w:r>
              <w:rPr>
                <w:rFonts w:ascii="Calibri" w:cs="Calibri" w:eastAsia="Calibri" w:hAnsi="Calibri"/>
                <w:b/>
                <w:bCs/>
                <w:color w:val="0D1E3A"/>
                <w:sz w:val="19"/>
                <w:szCs w:val="19"/>
              </w:rPr>
              <w:t xml:space="preserve">captured_at</w:t>
            </w:r>
          </w:p>
        </w:tc>
        <w:tc>
          <w:tcPr>
            <w:tcW w:type="dxa" w:w="6946"/>
            <w:tcBorders>
              <w:top w:val="single" w:color="D0D4DC" w:sz="4"/>
              <w:left w:val="single" w:color="D0D4DC" w:sz="4"/>
              <w:bottom w:val="single" w:color="D0D4DC" w:sz="4"/>
              <w:right w:val="single" w:color="D0D4DC" w:sz="4"/>
            </w:tcBorders>
            <w:shd w:fill="F2F4F7" w:val="clear"/>
            <w:tcMar>
              <w:top w:type="dxa" w:w="100"/>
              <w:left w:type="dxa" w:w="120"/>
              <w:bottom w:type="dxa" w:w="100"/>
              <w:right w:type="dxa" w:w="120"/>
            </w:tcMar>
            <w:vAlign w:val="top"/>
          </w:tcPr>
          <w:p>
            <w:pPr>
              <w:spacing w:after="60" w:before="60"/>
              <w:jc w:val="left"/>
            </w:pPr>
            <w:r>
              <w:rPr>
                <w:rFonts w:ascii="Calibri" w:cs="Calibri" w:eastAsia="Calibri" w:hAnsi="Calibri"/>
                <w:color w:val="1A1A2E"/>
                <w:sz w:val="19"/>
                <w:szCs w:val="19"/>
              </w:rPr>
              <w:t xml:space="preserve">Microsecond-precision UTC timestamp of DACT ingestion. NOT the venue-reported timestamp.</w:t>
            </w:r>
          </w:p>
        </w:tc>
      </w:tr>
      <w:tr>
        <w:tc>
          <w:tcPr>
            <w:tcW w:type="dxa" w:w="2800"/>
            <w:tcBorders>
              <w:top w:val="single" w:color="D0D4DC" w:sz="4"/>
              <w:left w:val="single" w:color="D0D4DC" w:sz="4"/>
              <w:bottom w:val="single" w:color="D0D4DC" w:sz="4"/>
              <w:right w:val="single" w:color="D0D4DC" w:sz="4"/>
            </w:tcBorders>
            <w:shd w:fill="F8F9FB" w:val="clear"/>
            <w:tcMar>
              <w:top w:type="dxa" w:w="100"/>
              <w:left w:type="dxa" w:w="120"/>
              <w:bottom w:type="dxa" w:w="100"/>
              <w:right w:type="dxa" w:w="120"/>
            </w:tcMar>
            <w:vAlign w:val="top"/>
          </w:tcPr>
          <w:p>
            <w:pPr>
              <w:spacing w:after="60" w:before="60"/>
              <w:jc w:val="left"/>
            </w:pPr>
            <w:r>
              <w:rPr>
                <w:rFonts w:ascii="Calibri" w:cs="Calibri" w:eastAsia="Calibri" w:hAnsi="Calibri"/>
                <w:b/>
                <w:bCs/>
                <w:color w:val="0D1E3A"/>
                <w:sz w:val="19"/>
                <w:szCs w:val="19"/>
              </w:rPr>
              <w:t xml:space="preserve">source_type</w:t>
            </w:r>
          </w:p>
        </w:tc>
        <w:tc>
          <w:tcPr>
            <w:tcW w:type="dxa" w:w="6946"/>
            <w:tcBorders>
              <w:top w:val="single" w:color="D0D4DC" w:sz="4"/>
              <w:left w:val="single" w:color="D0D4DC" w:sz="4"/>
              <w:bottom w:val="single" w:color="D0D4DC" w:sz="4"/>
              <w:right w:val="single" w:color="D0D4DC" w:sz="4"/>
            </w:tcBorders>
            <w:shd w:fill="FFFFFF" w:val="clear"/>
            <w:tcMar>
              <w:top w:type="dxa" w:w="100"/>
              <w:left w:type="dxa" w:w="120"/>
              <w:bottom w:type="dxa" w:w="100"/>
              <w:right w:type="dxa" w:w="120"/>
            </w:tcMar>
            <w:vAlign w:val="top"/>
          </w:tcPr>
          <w:p>
            <w:pPr>
              <w:spacing w:after="60" w:before="60"/>
              <w:jc w:val="left"/>
            </w:pPr>
            <w:r>
              <w:rPr>
                <w:rFonts w:ascii="Calibri" w:cs="Calibri" w:eastAsia="Calibri" w:hAnsi="Calibri"/>
                <w:color w:val="1A1A2E"/>
                <w:sz w:val="19"/>
                <w:szCs w:val="19"/>
              </w:rPr>
              <w:t xml:space="preserve">Liquidity type classification: LIT_ORDERBOOK | RFQ_OTC | AMM_DERIVED. MUST be present.</w:t>
            </w:r>
          </w:p>
        </w:tc>
      </w:tr>
      <w:tr>
        <w:tc>
          <w:tcPr>
            <w:tcW w:type="dxa" w:w="2800"/>
            <w:tcBorders>
              <w:top w:val="single" w:color="D0D4DC" w:sz="4"/>
              <w:left w:val="single" w:color="D0D4DC" w:sz="4"/>
              <w:bottom w:val="single" w:color="D0D4DC" w:sz="4"/>
              <w:right w:val="single" w:color="D0D4DC" w:sz="4"/>
            </w:tcBorders>
            <w:shd w:fill="EEF2F8" w:val="clear"/>
            <w:tcMar>
              <w:top w:type="dxa" w:w="100"/>
              <w:left w:type="dxa" w:w="120"/>
              <w:bottom w:type="dxa" w:w="100"/>
              <w:right w:type="dxa" w:w="120"/>
            </w:tcMar>
            <w:vAlign w:val="top"/>
          </w:tcPr>
          <w:p>
            <w:pPr>
              <w:spacing w:after="60" w:before="60"/>
              <w:jc w:val="left"/>
            </w:pPr>
            <w:r>
              <w:rPr>
                <w:rFonts w:ascii="Calibri" w:cs="Calibri" w:eastAsia="Calibri" w:hAnsi="Calibri"/>
                <w:b/>
                <w:bCs/>
                <w:color w:val="0D1E3A"/>
                <w:sz w:val="19"/>
                <w:szCs w:val="19"/>
              </w:rPr>
              <w:t xml:space="preserve">payload</w:t>
            </w:r>
          </w:p>
        </w:tc>
        <w:tc>
          <w:tcPr>
            <w:tcW w:type="dxa" w:w="6946"/>
            <w:tcBorders>
              <w:top w:val="single" w:color="D0D4DC" w:sz="4"/>
              <w:left w:val="single" w:color="D0D4DC" w:sz="4"/>
              <w:bottom w:val="single" w:color="D0D4DC" w:sz="4"/>
              <w:right w:val="single" w:color="D0D4DC" w:sz="4"/>
            </w:tcBorders>
            <w:shd w:fill="F2F4F7" w:val="clear"/>
            <w:tcMar>
              <w:top w:type="dxa" w:w="100"/>
              <w:left w:type="dxa" w:w="120"/>
              <w:bottom w:type="dxa" w:w="100"/>
              <w:right w:type="dxa" w:w="120"/>
            </w:tcMar>
            <w:vAlign w:val="top"/>
          </w:tcPr>
          <w:p>
            <w:pPr>
              <w:spacing w:after="60" w:before="60"/>
              <w:jc w:val="left"/>
            </w:pPr>
            <w:r>
              <w:rPr>
                <w:rFonts w:ascii="Calibri" w:cs="Calibri" w:eastAsia="Calibri" w:hAnsi="Calibri"/>
                <w:color w:val="1A1A2E"/>
                <w:sz w:val="19"/>
                <w:szCs w:val="19"/>
              </w:rPr>
              <w:t xml:space="preserve">Type-specific payload conforming to the event type specification in Section 5.</w:t>
            </w:r>
          </w:p>
        </w:tc>
      </w:tr>
      <w:tr>
        <w:tc>
          <w:tcPr>
            <w:tcW w:type="dxa" w:w="2800"/>
            <w:tcBorders>
              <w:top w:val="single" w:color="D0D4DC" w:sz="4"/>
              <w:left w:val="single" w:color="D0D4DC" w:sz="4"/>
              <w:bottom w:val="single" w:color="D0D4DC" w:sz="4"/>
              <w:right w:val="single" w:color="D0D4DC" w:sz="4"/>
            </w:tcBorders>
            <w:shd w:fill="F8F9FB" w:val="clear"/>
            <w:tcMar>
              <w:top w:type="dxa" w:w="100"/>
              <w:left w:type="dxa" w:w="120"/>
              <w:bottom w:type="dxa" w:w="100"/>
              <w:right w:type="dxa" w:w="120"/>
            </w:tcMar>
            <w:vAlign w:val="top"/>
          </w:tcPr>
          <w:p>
            <w:pPr>
              <w:spacing w:after="60" w:before="60"/>
              <w:jc w:val="left"/>
            </w:pPr>
            <w:r>
              <w:rPr>
                <w:rFonts w:ascii="Calibri" w:cs="Calibri" w:eastAsia="Calibri" w:hAnsi="Calibri"/>
                <w:b/>
                <w:bCs/>
                <w:color w:val="0D1E3A"/>
                <w:sz w:val="19"/>
                <w:szCs w:val="19"/>
              </w:rPr>
              <w:t xml:space="preserve">provenance</w:t>
            </w:r>
          </w:p>
        </w:tc>
        <w:tc>
          <w:tcPr>
            <w:tcW w:type="dxa" w:w="6946"/>
            <w:tcBorders>
              <w:top w:val="single" w:color="D0D4DC" w:sz="4"/>
              <w:left w:val="single" w:color="D0D4DC" w:sz="4"/>
              <w:bottom w:val="single" w:color="D0D4DC" w:sz="4"/>
              <w:right w:val="single" w:color="D0D4DC" w:sz="4"/>
            </w:tcBorders>
            <w:shd w:fill="FFFFFF" w:val="clear"/>
            <w:tcMar>
              <w:top w:type="dxa" w:w="100"/>
              <w:left w:type="dxa" w:w="120"/>
              <w:bottom w:type="dxa" w:w="100"/>
              <w:right w:type="dxa" w:w="120"/>
            </w:tcMar>
            <w:vAlign w:val="top"/>
          </w:tcPr>
          <w:p>
            <w:pPr>
              <w:spacing w:after="60" w:before="60"/>
              <w:jc w:val="left"/>
            </w:pPr>
            <w:r>
              <w:rPr>
                <w:rFonts w:ascii="Calibri" w:cs="Calibri" w:eastAsia="Calibri" w:hAnsi="Calibri"/>
                <w:color w:val="1A1A2E"/>
                <w:sz w:val="19"/>
                <w:szCs w:val="19"/>
              </w:rPr>
              <w:t xml:space="preserve">Full attribution block. All sub-fields MUST be present. Null values MUST be explicit null, not absent.</w:t>
            </w:r>
          </w:p>
        </w:tc>
      </w:tr>
    </w:tbl>
    <w:p>
      <w:pPr>
        <w:spacing w:after="200" w:before="200"/>
      </w:pPr>
    </w:p>
    <w:p>
      <w:pPr>
        <w:pStyle w:val="Heading1"/>
        <w:pBdr>
          <w:bottom w:val="single" w:color="1B4F8A" w:sz="8" w:space="2"/>
        </w:pBdr>
        <w:spacing w:after="120" w:before="280"/>
      </w:pPr>
      <w:r>
        <w:rPr>
          <w:rFonts w:ascii="Calibri" w:cs="Calibri" w:eastAsia="Calibri" w:hAnsi="Calibri"/>
          <w:b/>
          <w:bCs/>
          <w:color w:val="0D1E3A"/>
          <w:sz w:val="28"/>
          <w:szCs w:val="28"/>
        </w:rPr>
        <w:t xml:space="preserve">5. Event Model (Normative)</w:t>
      </w:r>
    </w:p>
    <w:p>
      <w:pPr>
        <w:spacing w:after="60" w:before="80"/>
        <w:jc w:val="left"/>
      </w:pPr>
      <w:r>
        <w:rPr>
          <w:rFonts w:ascii="Calibri" w:cs="Calibri" w:eastAsia="Calibri" w:hAnsi="Calibri"/>
          <w:color w:val="000000"/>
          <w:sz w:val="20"/>
          <w:szCs w:val="20"/>
        </w:rPr>
        <w:t xml:space="preserve">DACT supports four canonical event types. Each event type has a defined payload structure. Implementations MUST support all four types. Events with unrecognised types MUST be rejected.</w:t>
      </w:r>
    </w:p>
    <w:p>
      <w:pPr>
        <w:spacing w:after="100" w:before="100"/>
      </w:pPr>
    </w:p>
    <w:p>
      <w:pPr>
        <w:pStyle w:val="Heading2"/>
        <w:spacing w:after="80" w:before="220"/>
      </w:pPr>
      <w:r>
        <w:rPr>
          <w:rFonts w:ascii="Calibri" w:cs="Calibri" w:eastAsia="Calibri" w:hAnsi="Calibri"/>
          <w:b/>
          <w:bCs/>
          <w:color w:val="1B4F8A"/>
          <w:sz w:val="24"/>
          <w:szCs w:val="24"/>
        </w:rPr>
        <w:t xml:space="preserve">5.1 Event Types</w:t>
      </w:r>
    </w:p>
    <w:p>
      <w:pPr>
        <w:spacing w:after="50" w:before="5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4346"/>
      </w:tblGrid>
      <w:tr>
        <w:tc>
          <w:tcPr>
            <w:tcW w:type="dxa" w:w="1800"/>
            <w:tcBorders>
              <w:top w:val="single" w:color="0D1E3A" w:sz="4"/>
              <w:left w:val="single" w:color="0D1E3A" w:sz="4"/>
              <w:bottom w:val="single" w:color="0D1E3A" w:sz="4"/>
              <w:right w:val="single" w:color="0D1E3A" w:sz="4"/>
            </w:tcBorders>
            <w:shd w:fill="0D1E3A" w:val="clear"/>
            <w:tcMar>
              <w:top w:type="dxa" w:w="100"/>
              <w:left w:type="dxa" w:w="120"/>
              <w:bottom w:type="dxa" w:w="100"/>
              <w:right w:type="dxa" w:w="120"/>
            </w:tcMar>
            <w:vAlign w:val="top"/>
          </w:tcPr>
          <w:p>
            <w:pPr>
              <w:spacing w:after="60" w:before="60"/>
              <w:jc w:val="left"/>
            </w:pPr>
            <w:r>
              <w:rPr>
                <w:rFonts w:ascii="Calibri" w:cs="Calibri" w:eastAsia="Calibri" w:hAnsi="Calibri"/>
                <w:b/>
                <w:bCs/>
                <w:color w:val="FFFFFF"/>
                <w:sz w:val="18"/>
                <w:szCs w:val="18"/>
              </w:rPr>
              <w:t xml:space="preserve">Event Type</w:t>
            </w:r>
          </w:p>
        </w:tc>
        <w:tc>
          <w:tcPr>
            <w:tcW w:type="dxa" w:w="3600"/>
            <w:tcBorders>
              <w:top w:val="single" w:color="0D1E3A" w:sz="4"/>
              <w:left w:val="single" w:color="0D1E3A" w:sz="4"/>
              <w:bottom w:val="single" w:color="0D1E3A" w:sz="4"/>
              <w:right w:val="single" w:color="0D1E3A" w:sz="4"/>
            </w:tcBorders>
            <w:shd w:fill="0D1E3A" w:val="clear"/>
            <w:tcMar>
              <w:top w:type="dxa" w:w="100"/>
              <w:left w:type="dxa" w:w="120"/>
              <w:bottom w:type="dxa" w:w="100"/>
              <w:right w:type="dxa" w:w="120"/>
            </w:tcMar>
            <w:vAlign w:val="top"/>
          </w:tcPr>
          <w:p>
            <w:pPr>
              <w:spacing w:after="60" w:before="60"/>
              <w:jc w:val="left"/>
            </w:pPr>
            <w:r>
              <w:rPr>
                <w:rFonts w:ascii="Calibri" w:cs="Calibri" w:eastAsia="Calibri" w:hAnsi="Calibri"/>
                <w:b/>
                <w:bCs/>
                <w:color w:val="FFFFFF"/>
                <w:sz w:val="18"/>
                <w:szCs w:val="18"/>
              </w:rPr>
              <w:t xml:space="preserve">Description</w:t>
            </w:r>
          </w:p>
        </w:tc>
        <w:tc>
          <w:tcPr>
            <w:tcW w:type="dxa" w:w="4346"/>
            <w:tcBorders>
              <w:top w:val="single" w:color="0D1E3A" w:sz="4"/>
              <w:left w:val="single" w:color="0D1E3A" w:sz="4"/>
              <w:bottom w:val="single" w:color="0D1E3A" w:sz="4"/>
              <w:right w:val="single" w:color="0D1E3A" w:sz="4"/>
            </w:tcBorders>
            <w:shd w:fill="0D1E3A" w:val="clear"/>
            <w:tcMar>
              <w:top w:type="dxa" w:w="100"/>
              <w:left w:type="dxa" w:w="120"/>
              <w:bottom w:type="dxa" w:w="100"/>
              <w:right w:type="dxa" w:w="120"/>
            </w:tcMar>
            <w:vAlign w:val="top"/>
          </w:tcPr>
          <w:p>
            <w:pPr>
              <w:spacing w:after="60" w:before="60"/>
              <w:jc w:val="left"/>
            </w:pPr>
            <w:r>
              <w:rPr>
                <w:rFonts w:ascii="Calibri" w:cs="Calibri" w:eastAsia="Calibri" w:hAnsi="Calibri"/>
                <w:b/>
                <w:bCs/>
                <w:color w:val="FFFFFF"/>
                <w:sz w:val="18"/>
                <w:szCs w:val="18"/>
              </w:rPr>
              <w:t xml:space="preserve">Source Type</w:t>
            </w:r>
          </w:p>
        </w:tc>
      </w:tr>
      <w:tr>
        <w:tc>
          <w:tcPr>
            <w:tcW w:type="dxa" w:w="1800"/>
            <w:tcBorders>
              <w:top w:val="single" w:color="D0D4DC" w:sz="4"/>
              <w:left w:val="single" w:color="D0D4DC" w:sz="4"/>
              <w:bottom w:val="single" w:color="D0D4DC" w:sz="4"/>
              <w:right w:val="single" w:color="D0D4DC" w:sz="4"/>
            </w:tcBorders>
            <w:shd w:fill="EEF2F8" w:val="clear"/>
            <w:tcMar>
              <w:top w:type="dxa" w:w="100"/>
              <w:left w:type="dxa" w:w="120"/>
              <w:bottom w:type="dxa" w:w="100"/>
              <w:right w:type="dxa" w:w="120"/>
            </w:tcMar>
            <w:vAlign w:val="top"/>
          </w:tcPr>
          <w:p>
            <w:pPr>
              <w:spacing w:after="60" w:before="60"/>
              <w:jc w:val="left"/>
            </w:pPr>
            <w:r>
              <w:rPr>
                <w:rFonts w:ascii="Calibri" w:cs="Calibri" w:eastAsia="Calibri" w:hAnsi="Calibri"/>
                <w:b/>
                <w:bCs/>
                <w:color w:val="0D1E3A"/>
                <w:sz w:val="19"/>
                <w:szCs w:val="19"/>
              </w:rPr>
              <w:t xml:space="preserve">DEPTH_UPDATE</w:t>
            </w:r>
          </w:p>
        </w:tc>
        <w:tc>
          <w:tcPr>
            <w:tcW w:type="dxa" w:w="3600"/>
            <w:tcBorders>
              <w:top w:val="single" w:color="D0D4DC" w:sz="4"/>
              <w:left w:val="single" w:color="D0D4DC" w:sz="4"/>
              <w:bottom w:val="single" w:color="D0D4DC" w:sz="4"/>
              <w:right w:val="single" w:color="D0D4DC" w:sz="4"/>
            </w:tcBorders>
            <w:shd w:fill="F2F4F7" w:val="clear"/>
            <w:tcMar>
              <w:top w:type="dxa" w:w="100"/>
              <w:left w:type="dxa" w:w="120"/>
              <w:bottom w:type="dxa" w:w="100"/>
              <w:right w:type="dxa" w:w="120"/>
            </w:tcMar>
            <w:vAlign w:val="top"/>
          </w:tcPr>
          <w:p>
            <w:pPr>
              <w:spacing w:after="60" w:before="60"/>
              <w:jc w:val="left"/>
            </w:pPr>
            <w:r>
              <w:rPr>
                <w:rFonts w:ascii="Calibri" w:cs="Calibri" w:eastAsia="Calibri" w:hAnsi="Calibri"/>
                <w:color w:val="000000"/>
                <w:sz w:val="19"/>
                <w:szCs w:val="19"/>
              </w:rPr>
              <w:t xml:space="preserve">Orderbook depth snapshot; bid and ask arrays with price and quantity at up to 1,000 levels per side</w:t>
            </w:r>
          </w:p>
        </w:tc>
        <w:tc>
          <w:tcPr>
            <w:tcW w:type="dxa" w:w="4346"/>
            <w:tcBorders>
              <w:top w:val="single" w:color="D0D4DC" w:sz="4"/>
              <w:left w:val="single" w:color="D0D4DC" w:sz="4"/>
              <w:bottom w:val="single" w:color="D0D4DC" w:sz="4"/>
              <w:right w:val="single" w:color="D0D4DC" w:sz="4"/>
            </w:tcBorders>
            <w:shd w:fill="F2F4F7" w:val="clear"/>
            <w:tcMar>
              <w:top w:type="dxa" w:w="100"/>
              <w:left w:type="dxa" w:w="120"/>
              <w:bottom w:type="dxa" w:w="100"/>
              <w:right w:type="dxa" w:w="120"/>
            </w:tcMar>
            <w:vAlign w:val="top"/>
          </w:tcPr>
          <w:p>
            <w:pPr>
              <w:spacing w:after="60" w:before="60"/>
              <w:jc w:val="left"/>
            </w:pPr>
            <w:r>
              <w:rPr>
                <w:rFonts w:ascii="Calibri" w:cs="Calibri" w:eastAsia="Calibri" w:hAnsi="Calibri"/>
                <w:b/>
                <w:bCs/>
                <w:color w:val="1A7A8A"/>
                <w:sz w:val="18"/>
                <w:szCs w:val="18"/>
              </w:rPr>
              <w:t xml:space="preserve">LIT_ORDERBOOK / AMM_DERIVED</w:t>
            </w:r>
          </w:p>
        </w:tc>
      </w:tr>
      <w:tr>
        <w:tc>
          <w:tcPr>
            <w:tcW w:type="dxa" w:w="1800"/>
            <w:tcBorders>
              <w:top w:val="single" w:color="D0D4DC" w:sz="4"/>
              <w:left w:val="single" w:color="D0D4DC" w:sz="4"/>
              <w:bottom w:val="single" w:color="D0D4DC" w:sz="4"/>
              <w:right w:val="single" w:color="D0D4DC" w:sz="4"/>
            </w:tcBorders>
            <w:shd w:fill="F8F9FB" w:val="clear"/>
            <w:tcMar>
              <w:top w:type="dxa" w:w="100"/>
              <w:left w:type="dxa" w:w="120"/>
              <w:bottom w:type="dxa" w:w="100"/>
              <w:right w:type="dxa" w:w="120"/>
            </w:tcMar>
            <w:vAlign w:val="top"/>
          </w:tcPr>
          <w:p>
            <w:pPr>
              <w:spacing w:after="60" w:before="60"/>
              <w:jc w:val="left"/>
            </w:pPr>
            <w:r>
              <w:rPr>
                <w:rFonts w:ascii="Calibri" w:cs="Calibri" w:eastAsia="Calibri" w:hAnsi="Calibri"/>
                <w:b/>
                <w:bCs/>
                <w:color w:val="0D1E3A"/>
                <w:sz w:val="19"/>
                <w:szCs w:val="19"/>
              </w:rPr>
              <w:t xml:space="preserve">BBO_UPDATE</w:t>
            </w:r>
          </w:p>
        </w:tc>
        <w:tc>
          <w:tcPr>
            <w:tcW w:type="dxa" w:w="3600"/>
            <w:tcBorders>
              <w:top w:val="single" w:color="D0D4DC" w:sz="4"/>
              <w:left w:val="single" w:color="D0D4DC" w:sz="4"/>
              <w:bottom w:val="single" w:color="D0D4DC" w:sz="4"/>
              <w:right w:val="single" w:color="D0D4DC" w:sz="4"/>
            </w:tcBorders>
            <w:shd w:fill="FFFFFF" w:val="clear"/>
            <w:tcMar>
              <w:top w:type="dxa" w:w="100"/>
              <w:left w:type="dxa" w:w="120"/>
              <w:bottom w:type="dxa" w:w="100"/>
              <w:right w:type="dxa" w:w="120"/>
            </w:tcMar>
            <w:vAlign w:val="top"/>
          </w:tcPr>
          <w:p>
            <w:pPr>
              <w:spacing w:after="60" w:before="60"/>
              <w:jc w:val="left"/>
            </w:pPr>
            <w:r>
              <w:rPr>
                <w:rFonts w:ascii="Calibri" w:cs="Calibri" w:eastAsia="Calibri" w:hAnsi="Calibri"/>
                <w:color w:val="000000"/>
                <w:sz w:val="19"/>
                <w:szCs w:val="19"/>
              </w:rPr>
              <w:t xml:space="preserve">Best bid/offer update; spread calculation; mid-price derivation; cross-venue NBBO input</w:t>
            </w:r>
          </w:p>
        </w:tc>
        <w:tc>
          <w:tcPr>
            <w:tcW w:type="dxa" w:w="4346"/>
            <w:tcBorders>
              <w:top w:val="single" w:color="D0D4DC" w:sz="4"/>
              <w:left w:val="single" w:color="D0D4DC" w:sz="4"/>
              <w:bottom w:val="single" w:color="D0D4DC" w:sz="4"/>
              <w:right w:val="single" w:color="D0D4DC" w:sz="4"/>
            </w:tcBorders>
            <w:shd w:fill="FFFFFF" w:val="clear"/>
            <w:tcMar>
              <w:top w:type="dxa" w:w="100"/>
              <w:left w:type="dxa" w:w="120"/>
              <w:bottom w:type="dxa" w:w="100"/>
              <w:right w:type="dxa" w:w="120"/>
            </w:tcMar>
            <w:vAlign w:val="top"/>
          </w:tcPr>
          <w:p>
            <w:pPr>
              <w:spacing w:after="60" w:before="60"/>
              <w:jc w:val="left"/>
            </w:pPr>
            <w:r>
              <w:rPr>
                <w:rFonts w:ascii="Calibri" w:cs="Calibri" w:eastAsia="Calibri" w:hAnsi="Calibri"/>
                <w:b/>
                <w:bCs/>
                <w:color w:val="1A7A8A"/>
                <w:sz w:val="18"/>
                <w:szCs w:val="18"/>
              </w:rPr>
              <w:t xml:space="preserve">LIT_ORDERBOOK / RFQ_OTC</w:t>
            </w:r>
          </w:p>
        </w:tc>
      </w:tr>
      <w:tr>
        <w:tc>
          <w:tcPr>
            <w:tcW w:type="dxa" w:w="1800"/>
            <w:tcBorders>
              <w:top w:val="single" w:color="D0D4DC" w:sz="4"/>
              <w:left w:val="single" w:color="D0D4DC" w:sz="4"/>
              <w:bottom w:val="single" w:color="D0D4DC" w:sz="4"/>
              <w:right w:val="single" w:color="D0D4DC" w:sz="4"/>
            </w:tcBorders>
            <w:shd w:fill="EEF2F8" w:val="clear"/>
            <w:tcMar>
              <w:top w:type="dxa" w:w="100"/>
              <w:left w:type="dxa" w:w="120"/>
              <w:bottom w:type="dxa" w:w="100"/>
              <w:right w:type="dxa" w:w="120"/>
            </w:tcMar>
            <w:vAlign w:val="top"/>
          </w:tcPr>
          <w:p>
            <w:pPr>
              <w:spacing w:after="60" w:before="60"/>
              <w:jc w:val="left"/>
            </w:pPr>
            <w:r>
              <w:rPr>
                <w:rFonts w:ascii="Calibri" w:cs="Calibri" w:eastAsia="Calibri" w:hAnsi="Calibri"/>
                <w:b/>
                <w:bCs/>
                <w:color w:val="0D1E3A"/>
                <w:sz w:val="19"/>
                <w:szCs w:val="19"/>
              </w:rPr>
              <w:t xml:space="preserve">TRADE</w:t>
            </w:r>
          </w:p>
        </w:tc>
        <w:tc>
          <w:tcPr>
            <w:tcW w:type="dxa" w:w="3600"/>
            <w:tcBorders>
              <w:top w:val="single" w:color="D0D4DC" w:sz="4"/>
              <w:left w:val="single" w:color="D0D4DC" w:sz="4"/>
              <w:bottom w:val="single" w:color="D0D4DC" w:sz="4"/>
              <w:right w:val="single" w:color="D0D4DC" w:sz="4"/>
            </w:tcBorders>
            <w:shd w:fill="F2F4F7" w:val="clear"/>
            <w:tcMar>
              <w:top w:type="dxa" w:w="100"/>
              <w:left w:type="dxa" w:w="120"/>
              <w:bottom w:type="dxa" w:w="100"/>
              <w:right w:type="dxa" w:w="120"/>
            </w:tcMar>
            <w:vAlign w:val="top"/>
          </w:tcPr>
          <w:p>
            <w:pPr>
              <w:spacing w:after="60" w:before="60"/>
              <w:jc w:val="left"/>
            </w:pPr>
            <w:r>
              <w:rPr>
                <w:rFonts w:ascii="Calibri" w:cs="Calibri" w:eastAsia="Calibri" w:hAnsi="Calibri"/>
                <w:color w:val="000000"/>
                <w:sz w:val="19"/>
                <w:szCs w:val="19"/>
              </w:rPr>
              <w:t xml:space="preserve">Executed trade record; price, quantity, side, venue timestamp, liquidation flag, aggressor side</w:t>
            </w:r>
          </w:p>
        </w:tc>
        <w:tc>
          <w:tcPr>
            <w:tcW w:type="dxa" w:w="4346"/>
            <w:tcBorders>
              <w:top w:val="single" w:color="D0D4DC" w:sz="4"/>
              <w:left w:val="single" w:color="D0D4DC" w:sz="4"/>
              <w:bottom w:val="single" w:color="D0D4DC" w:sz="4"/>
              <w:right w:val="single" w:color="D0D4DC" w:sz="4"/>
            </w:tcBorders>
            <w:shd w:fill="F2F4F7" w:val="clear"/>
            <w:tcMar>
              <w:top w:type="dxa" w:w="100"/>
              <w:left w:type="dxa" w:w="120"/>
              <w:bottom w:type="dxa" w:w="100"/>
              <w:right w:type="dxa" w:w="120"/>
            </w:tcMar>
            <w:vAlign w:val="top"/>
          </w:tcPr>
          <w:p>
            <w:pPr>
              <w:spacing w:after="60" w:before="60"/>
              <w:jc w:val="left"/>
            </w:pPr>
            <w:r>
              <w:rPr>
                <w:rFonts w:ascii="Calibri" w:cs="Calibri" w:eastAsia="Calibri" w:hAnsi="Calibri"/>
                <w:b/>
                <w:bCs/>
                <w:color w:val="1A7A8A"/>
                <w:sz w:val="18"/>
                <w:szCs w:val="18"/>
              </w:rPr>
              <w:t xml:space="preserve">LIT_ORDERBOOK / RFQ_OTC</w:t>
            </w:r>
          </w:p>
        </w:tc>
      </w:tr>
      <w:tr>
        <w:tc>
          <w:tcPr>
            <w:tcW w:type="dxa" w:w="1800"/>
            <w:tcBorders>
              <w:top w:val="single" w:color="D0D4DC" w:sz="4"/>
              <w:left w:val="single" w:color="D0D4DC" w:sz="4"/>
              <w:bottom w:val="single" w:color="D0D4DC" w:sz="4"/>
              <w:right w:val="single" w:color="D0D4DC" w:sz="4"/>
            </w:tcBorders>
            <w:shd w:fill="F8F9FB" w:val="clear"/>
            <w:tcMar>
              <w:top w:type="dxa" w:w="100"/>
              <w:left w:type="dxa" w:w="120"/>
              <w:bottom w:type="dxa" w:w="100"/>
              <w:right w:type="dxa" w:w="120"/>
            </w:tcMar>
            <w:vAlign w:val="top"/>
          </w:tcPr>
          <w:p>
            <w:pPr>
              <w:spacing w:after="60" w:before="60"/>
              <w:jc w:val="left"/>
            </w:pPr>
            <w:r>
              <w:rPr>
                <w:rFonts w:ascii="Calibri" w:cs="Calibri" w:eastAsia="Calibri" w:hAnsi="Calibri"/>
                <w:b/>
                <w:bCs/>
                <w:color w:val="0D1E3A"/>
                <w:sz w:val="19"/>
                <w:szCs w:val="19"/>
              </w:rPr>
              <w:t xml:space="preserve">VENUE_STATUS</w:t>
            </w:r>
          </w:p>
        </w:tc>
        <w:tc>
          <w:tcPr>
            <w:tcW w:type="dxa" w:w="3600"/>
            <w:tcBorders>
              <w:top w:val="single" w:color="D0D4DC" w:sz="4"/>
              <w:left w:val="single" w:color="D0D4DC" w:sz="4"/>
              <w:bottom w:val="single" w:color="D0D4DC" w:sz="4"/>
              <w:right w:val="single" w:color="D0D4DC" w:sz="4"/>
            </w:tcBorders>
            <w:shd w:fill="FFFFFF" w:val="clear"/>
            <w:tcMar>
              <w:top w:type="dxa" w:w="100"/>
              <w:left w:type="dxa" w:w="120"/>
              <w:bottom w:type="dxa" w:w="100"/>
              <w:right w:type="dxa" w:w="120"/>
            </w:tcMar>
            <w:vAlign w:val="top"/>
          </w:tcPr>
          <w:p>
            <w:pPr>
              <w:spacing w:after="60" w:before="60"/>
              <w:jc w:val="left"/>
            </w:pPr>
            <w:r>
              <w:rPr>
                <w:rFonts w:ascii="Calibri" w:cs="Calibri" w:eastAsia="Calibri" w:hAnsi="Calibri"/>
                <w:color w:val="000000"/>
                <w:sz w:val="19"/>
                <w:szCs w:val="19"/>
              </w:rPr>
              <w:t xml:space="preserve">Venue connectivity state change: ONLINE | DEGRADED | OFFLINE; triggers evidence window updates downstream</w:t>
            </w:r>
          </w:p>
        </w:tc>
        <w:tc>
          <w:tcPr>
            <w:tcW w:type="dxa" w:w="4346"/>
            <w:tcBorders>
              <w:top w:val="single" w:color="D0D4DC" w:sz="4"/>
              <w:left w:val="single" w:color="D0D4DC" w:sz="4"/>
              <w:bottom w:val="single" w:color="D0D4DC" w:sz="4"/>
              <w:right w:val="single" w:color="D0D4DC" w:sz="4"/>
            </w:tcBorders>
            <w:shd w:fill="FFFFFF" w:val="clear"/>
            <w:tcMar>
              <w:top w:type="dxa" w:w="100"/>
              <w:left w:type="dxa" w:w="120"/>
              <w:bottom w:type="dxa" w:w="100"/>
              <w:right w:type="dxa" w:w="120"/>
            </w:tcMar>
            <w:vAlign w:val="top"/>
          </w:tcPr>
          <w:p>
            <w:pPr>
              <w:spacing w:after="60" w:before="60"/>
              <w:jc w:val="left"/>
            </w:pPr>
            <w:r>
              <w:rPr>
                <w:rFonts w:ascii="Calibri" w:cs="Calibri" w:eastAsia="Calibri" w:hAnsi="Calibri"/>
                <w:b/>
                <w:bCs/>
                <w:color w:val="1A7A8A"/>
                <w:sz w:val="18"/>
                <w:szCs w:val="18"/>
              </w:rPr>
              <w:t xml:space="preserve">All</w:t>
            </w:r>
          </w:p>
        </w:tc>
      </w:tr>
    </w:tbl>
    <w:p>
      <w:pPr>
        <w:spacing w:after="150" w:before="150"/>
      </w:pPr>
    </w:p>
    <w:p>
      <w:pPr>
        <w:pStyle w:val="Heading2"/>
        <w:spacing w:after="80" w:before="220"/>
      </w:pPr>
      <w:r>
        <w:rPr>
          <w:rFonts w:ascii="Calibri" w:cs="Calibri" w:eastAsia="Calibri" w:hAnsi="Calibri"/>
          <w:b/>
          <w:bCs/>
          <w:color w:val="1B4F8A"/>
          <w:sz w:val="24"/>
          <w:szCs w:val="24"/>
        </w:rPr>
        <w:t xml:space="preserve">5.2 DEPTH_UPDATE Payload</w:t>
      </w:r>
    </w:p>
    <w:p>
      <w:pPr>
        <w:spacing w:after="50" w:before="5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0D1E3A" w:val="clear"/>
            <w:tcMar>
              <w:top w:type="dxa" w:w="100"/>
              <w:left w:type="dxa" w:w="120"/>
              <w:bottom w:type="dxa" w:w="100"/>
              <w:right w:type="dxa" w:w="120"/>
            </w:tcMar>
            <w:vAlign w:val="top"/>
          </w:tcPr>
          <w:p>
            <w:pPr>
              <w:spacing w:after="60" w:before="60"/>
              <w:jc w:val="left"/>
            </w:pPr>
            <w:r>
              <w:rPr>
                <w:rFonts w:ascii="Courier New" w:cs="Courier New" w:eastAsia="Courier New" w:hAnsi="Courier New"/>
                <w:color w:val="E8F0F8"/>
                <w:sz w:val="17"/>
                <w:szCs w:val="17"/>
              </w:rPr>
              <w:t xml:space="preserve">DEPTH_UPDATE payload {</w:t>
            </w:r>
          </w:p>
          <w:p>
            <w:pPr>
              <w:spacing w:after="60" w:before="60"/>
              <w:jc w:val="left"/>
            </w:pPr>
            <w:r>
              <w:rPr>
                <w:rFonts w:ascii="Courier New" w:cs="Courier New" w:eastAsia="Courier New" w:hAnsi="Courier New"/>
                <w:color w:val="E8F0F8"/>
                <w:sz w:val="17"/>
                <w:szCs w:val="17"/>
              </w:rPr>
              <w:t xml:space="preserve">  venue_ts:   number               // venue-reported timestamp (microseconds UTC)</w:t>
            </w:r>
          </w:p>
          <w:p>
            <w:pPr>
              <w:spacing w:after="60" w:before="60"/>
              <w:jc w:val="left"/>
            </w:pPr>
            <w:r>
              <w:rPr>
                <w:rFonts w:ascii="Courier New" w:cs="Courier New" w:eastAsia="Courier New" w:hAnsi="Courier New"/>
                <w:color w:val="E8F0F8"/>
                <w:sz w:val="17"/>
                <w:szCs w:val="17"/>
              </w:rPr>
              <w:t xml:space="preserve">  bids:       [{ price: number, qty: number }]   // up to 1,000 levels</w:t>
            </w:r>
          </w:p>
          <w:p>
            <w:pPr>
              <w:spacing w:after="60" w:before="60"/>
              <w:jc w:val="left"/>
            </w:pPr>
            <w:r>
              <w:rPr>
                <w:rFonts w:ascii="Courier New" w:cs="Courier New" w:eastAsia="Courier New" w:hAnsi="Courier New"/>
                <w:color w:val="E8F0F8"/>
                <w:sz w:val="17"/>
                <w:szCs w:val="17"/>
              </w:rPr>
              <w:t xml:space="preserve">  asks:       [{ price: number, qty: number }]   // up to 1,000 levels</w:t>
            </w:r>
          </w:p>
          <w:p>
            <w:pPr>
              <w:spacing w:after="60" w:before="60"/>
              <w:jc w:val="left"/>
            </w:pPr>
            <w:r>
              <w:rPr>
                <w:rFonts w:ascii="Courier New" w:cs="Courier New" w:eastAsia="Courier New" w:hAnsi="Courier New"/>
                <w:color w:val="E8F0F8"/>
                <w:sz w:val="17"/>
                <w:szCs w:val="17"/>
              </w:rPr>
              <w:t xml:space="preserve">  snapshot:   boolean              // true = full snapshot, false = delta update</w:t>
            </w:r>
          </w:p>
          <w:p>
            <w:pPr>
              <w:spacing w:after="60" w:before="60"/>
              <w:jc w:val="left"/>
            </w:pPr>
            <w:r>
              <w:rPr>
                <w:rFonts w:ascii="Courier New" w:cs="Courier New" w:eastAsia="Courier New" w:hAnsi="Courier New"/>
                <w:color w:val="E8F0F8"/>
                <w:sz w:val="17"/>
                <w:szCs w:val="17"/>
              </w:rPr>
              <w:t xml:space="preserve">  stale_flag: boolean              // true if venue_ts lag &gt; 500ms</w:t>
            </w:r>
          </w:p>
          <w:p>
            <w:pPr>
              <w:spacing w:after="60" w:before="60"/>
              <w:jc w:val="left"/>
            </w:pPr>
            <w:r>
              <w:rPr>
                <w:rFonts w:ascii="Courier New" w:cs="Courier New" w:eastAsia="Courier New" w:hAnsi="Courier New"/>
                <w:color w:val="E8F0F8"/>
                <w:sz w:val="17"/>
                <w:szCs w:val="17"/>
              </w:rPr>
              <w:t xml:space="preserve">}</w:t>
            </w:r>
          </w:p>
        </w:tc>
      </w:tr>
    </w:tbl>
    <w:p>
      <w:pPr>
        <w:spacing w:after="100" w:before="100"/>
      </w:pPr>
    </w:p>
    <w:p>
      <w:pPr>
        <w:pStyle w:val="Heading2"/>
        <w:spacing w:after="80" w:before="220"/>
      </w:pPr>
      <w:r>
        <w:rPr>
          <w:rFonts w:ascii="Calibri" w:cs="Calibri" w:eastAsia="Calibri" w:hAnsi="Calibri"/>
          <w:b/>
          <w:bCs/>
          <w:color w:val="1B4F8A"/>
          <w:sz w:val="24"/>
          <w:szCs w:val="24"/>
        </w:rPr>
        <w:t xml:space="preserve">5.3 BBO_UPDATE Payload</w:t>
      </w:r>
    </w:p>
    <w:p>
      <w:pPr>
        <w:spacing w:after="50" w:before="5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0D1E3A" w:val="clear"/>
            <w:tcMar>
              <w:top w:type="dxa" w:w="100"/>
              <w:left w:type="dxa" w:w="120"/>
              <w:bottom w:type="dxa" w:w="100"/>
              <w:right w:type="dxa" w:w="120"/>
            </w:tcMar>
            <w:vAlign w:val="top"/>
          </w:tcPr>
          <w:p>
            <w:pPr>
              <w:spacing w:after="60" w:before="60"/>
              <w:jc w:val="left"/>
            </w:pPr>
            <w:r>
              <w:rPr>
                <w:rFonts w:ascii="Courier New" w:cs="Courier New" w:eastAsia="Courier New" w:hAnsi="Courier New"/>
                <w:color w:val="E8F0F8"/>
                <w:sz w:val="17"/>
                <w:szCs w:val="17"/>
              </w:rPr>
              <w:t xml:space="preserve">BBO_UPDATE payload {</w:t>
            </w:r>
          </w:p>
          <w:p>
            <w:pPr>
              <w:spacing w:after="60" w:before="60"/>
              <w:jc w:val="left"/>
            </w:pPr>
            <w:r>
              <w:rPr>
                <w:rFonts w:ascii="Courier New" w:cs="Courier New" w:eastAsia="Courier New" w:hAnsi="Courier New"/>
                <w:color w:val="E8F0F8"/>
                <w:sz w:val="17"/>
                <w:szCs w:val="17"/>
              </w:rPr>
              <w:t xml:space="preserve">  venue_ts:   number</w:t>
            </w:r>
          </w:p>
          <w:p>
            <w:pPr>
              <w:spacing w:after="60" w:before="60"/>
              <w:jc w:val="left"/>
            </w:pPr>
            <w:r>
              <w:rPr>
                <w:rFonts w:ascii="Courier New" w:cs="Courier New" w:eastAsia="Courier New" w:hAnsi="Courier New"/>
                <w:color w:val="E8F0F8"/>
                <w:sz w:val="17"/>
                <w:szCs w:val="17"/>
              </w:rPr>
              <w:t xml:space="preserve">  bid_price:  number</w:t>
            </w:r>
          </w:p>
          <w:p>
            <w:pPr>
              <w:spacing w:after="60" w:before="60"/>
              <w:jc w:val="left"/>
            </w:pPr>
            <w:r>
              <w:rPr>
                <w:rFonts w:ascii="Courier New" w:cs="Courier New" w:eastAsia="Courier New" w:hAnsi="Courier New"/>
                <w:color w:val="E8F0F8"/>
                <w:sz w:val="17"/>
                <w:szCs w:val="17"/>
              </w:rPr>
              <w:t xml:space="preserve">  bid_qty:    number</w:t>
            </w:r>
          </w:p>
          <w:p>
            <w:pPr>
              <w:spacing w:after="60" w:before="60"/>
              <w:jc w:val="left"/>
            </w:pPr>
            <w:r>
              <w:rPr>
                <w:rFonts w:ascii="Courier New" w:cs="Courier New" w:eastAsia="Courier New" w:hAnsi="Courier New"/>
                <w:color w:val="E8F0F8"/>
                <w:sz w:val="17"/>
                <w:szCs w:val="17"/>
              </w:rPr>
              <w:t xml:space="preserve">  ask_price:  number</w:t>
            </w:r>
          </w:p>
          <w:p>
            <w:pPr>
              <w:spacing w:after="60" w:before="60"/>
              <w:jc w:val="left"/>
            </w:pPr>
            <w:r>
              <w:rPr>
                <w:rFonts w:ascii="Courier New" w:cs="Courier New" w:eastAsia="Courier New" w:hAnsi="Courier New"/>
                <w:color w:val="E8F0F8"/>
                <w:sz w:val="17"/>
                <w:szCs w:val="17"/>
              </w:rPr>
              <w:t xml:space="preserve">  ask_qty:    number</w:t>
            </w:r>
          </w:p>
          <w:p>
            <w:pPr>
              <w:spacing w:after="60" w:before="60"/>
              <w:jc w:val="left"/>
            </w:pPr>
            <w:r>
              <w:rPr>
                <w:rFonts w:ascii="Courier New" w:cs="Courier New" w:eastAsia="Courier New" w:hAnsi="Courier New"/>
                <w:color w:val="E8F0F8"/>
                <w:sz w:val="17"/>
                <w:szCs w:val="17"/>
              </w:rPr>
              <w:t xml:space="preserve">  spread:     number               // ask_price - bid_price</w:t>
            </w:r>
          </w:p>
          <w:p>
            <w:pPr>
              <w:spacing w:after="60" w:before="60"/>
              <w:jc w:val="left"/>
            </w:pPr>
            <w:r>
              <w:rPr>
                <w:rFonts w:ascii="Courier New" w:cs="Courier New" w:eastAsia="Courier New" w:hAnsi="Courier New"/>
                <w:color w:val="E8F0F8"/>
                <w:sz w:val="17"/>
                <w:szCs w:val="17"/>
              </w:rPr>
              <w:t xml:space="preserve">  mid_price:  number               // (bid_price + ask_price) / 2</w:t>
            </w:r>
          </w:p>
          <w:p>
            <w:pPr>
              <w:spacing w:after="60" w:before="60"/>
              <w:jc w:val="left"/>
            </w:pPr>
            <w:r>
              <w:rPr>
                <w:rFonts w:ascii="Courier New" w:cs="Courier New" w:eastAsia="Courier New" w:hAnsi="Courier New"/>
                <w:color w:val="E8F0F8"/>
                <w:sz w:val="17"/>
                <w:szCs w:val="17"/>
              </w:rPr>
              <w:t xml:space="preserve">}</w:t>
            </w:r>
          </w:p>
        </w:tc>
      </w:tr>
    </w:tbl>
    <w:p>
      <w:pPr>
        <w:spacing w:after="100" w:before="100"/>
      </w:pPr>
    </w:p>
    <w:p>
      <w:pPr>
        <w:pStyle w:val="Heading2"/>
        <w:spacing w:after="80" w:before="220"/>
      </w:pPr>
      <w:r>
        <w:rPr>
          <w:rFonts w:ascii="Calibri" w:cs="Calibri" w:eastAsia="Calibri" w:hAnsi="Calibri"/>
          <w:b/>
          <w:bCs/>
          <w:color w:val="1B4F8A"/>
          <w:sz w:val="24"/>
          <w:szCs w:val="24"/>
        </w:rPr>
        <w:t xml:space="preserve">5.4 TRADE Payload</w:t>
      </w:r>
    </w:p>
    <w:p>
      <w:pPr>
        <w:spacing w:after="50" w:before="5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0D1E3A" w:val="clear"/>
            <w:tcMar>
              <w:top w:type="dxa" w:w="100"/>
              <w:left w:type="dxa" w:w="120"/>
              <w:bottom w:type="dxa" w:w="100"/>
              <w:right w:type="dxa" w:w="120"/>
            </w:tcMar>
            <w:vAlign w:val="top"/>
          </w:tcPr>
          <w:p>
            <w:pPr>
              <w:spacing w:after="60" w:before="60"/>
              <w:jc w:val="left"/>
            </w:pPr>
            <w:r>
              <w:rPr>
                <w:rFonts w:ascii="Courier New" w:cs="Courier New" w:eastAsia="Courier New" w:hAnsi="Courier New"/>
                <w:color w:val="E8F0F8"/>
                <w:sz w:val="17"/>
                <w:szCs w:val="17"/>
              </w:rPr>
              <w:t xml:space="preserve">TRADE payload {</w:t>
            </w:r>
          </w:p>
          <w:p>
            <w:pPr>
              <w:spacing w:after="60" w:before="60"/>
              <w:jc w:val="left"/>
            </w:pPr>
            <w:r>
              <w:rPr>
                <w:rFonts w:ascii="Courier New" w:cs="Courier New" w:eastAsia="Courier New" w:hAnsi="Courier New"/>
                <w:color w:val="E8F0F8"/>
                <w:sz w:val="17"/>
                <w:szCs w:val="17"/>
              </w:rPr>
              <w:t xml:space="preserve">  venue_ts:        number</w:t>
            </w:r>
          </w:p>
          <w:p>
            <w:pPr>
              <w:spacing w:after="60" w:before="60"/>
              <w:jc w:val="left"/>
            </w:pPr>
            <w:r>
              <w:rPr>
                <w:rFonts w:ascii="Courier New" w:cs="Courier New" w:eastAsia="Courier New" w:hAnsi="Courier New"/>
                <w:color w:val="E8F0F8"/>
                <w:sz w:val="17"/>
                <w:szCs w:val="17"/>
              </w:rPr>
              <w:t xml:space="preserve">  trade_id:        string          // venue-assigned trade identifier</w:t>
            </w:r>
          </w:p>
          <w:p>
            <w:pPr>
              <w:spacing w:after="60" w:before="60"/>
              <w:jc w:val="left"/>
            </w:pPr>
            <w:r>
              <w:rPr>
                <w:rFonts w:ascii="Courier New" w:cs="Courier New" w:eastAsia="Courier New" w:hAnsi="Courier New"/>
                <w:color w:val="E8F0F8"/>
                <w:sz w:val="17"/>
                <w:szCs w:val="17"/>
              </w:rPr>
              <w:t xml:space="preserve">  price:           number</w:t>
            </w:r>
          </w:p>
          <w:p>
            <w:pPr>
              <w:spacing w:after="60" w:before="60"/>
              <w:jc w:val="left"/>
            </w:pPr>
            <w:r>
              <w:rPr>
                <w:rFonts w:ascii="Courier New" w:cs="Courier New" w:eastAsia="Courier New" w:hAnsi="Courier New"/>
                <w:color w:val="E8F0F8"/>
                <w:sz w:val="17"/>
                <w:szCs w:val="17"/>
              </w:rPr>
              <w:t xml:space="preserve">  quantity:        number</w:t>
            </w:r>
          </w:p>
          <w:p>
            <w:pPr>
              <w:spacing w:after="60" w:before="60"/>
              <w:jc w:val="left"/>
            </w:pPr>
            <w:r>
              <w:rPr>
                <w:rFonts w:ascii="Courier New" w:cs="Courier New" w:eastAsia="Courier New" w:hAnsi="Courier New"/>
                <w:color w:val="E8F0F8"/>
                <w:sz w:val="17"/>
                <w:szCs w:val="17"/>
              </w:rPr>
              <w:t xml:space="preserve">  side:            'buy' | 'sell'</w:t>
            </w:r>
          </w:p>
          <w:p>
            <w:pPr>
              <w:spacing w:after="60" w:before="60"/>
              <w:jc w:val="left"/>
            </w:pPr>
            <w:r>
              <w:rPr>
                <w:rFonts w:ascii="Courier New" w:cs="Courier New" w:eastAsia="Courier New" w:hAnsi="Courier New"/>
                <w:color w:val="E8F0F8"/>
                <w:sz w:val="17"/>
                <w:szCs w:val="17"/>
              </w:rPr>
              <w:t xml:space="preserve">  aggressor:       'buy' | 'sell' | null</w:t>
            </w:r>
          </w:p>
          <w:p>
            <w:pPr>
              <w:spacing w:after="60" w:before="60"/>
              <w:jc w:val="left"/>
            </w:pPr>
            <w:r>
              <w:rPr>
                <w:rFonts w:ascii="Courier New" w:cs="Courier New" w:eastAsia="Courier New" w:hAnsi="Courier New"/>
                <w:color w:val="E8F0F8"/>
                <w:sz w:val="17"/>
                <w:szCs w:val="17"/>
              </w:rPr>
              <w:t xml:space="preserve">  liquidation_flag: boolean</w:t>
            </w:r>
          </w:p>
          <w:p>
            <w:pPr>
              <w:spacing w:after="60" w:before="60"/>
              <w:jc w:val="left"/>
            </w:pPr>
            <w:r>
              <w:rPr>
                <w:rFonts w:ascii="Courier New" w:cs="Courier New" w:eastAsia="Courier New" w:hAnsi="Courier New"/>
                <w:color w:val="E8F0F8"/>
                <w:sz w:val="17"/>
                <w:szCs w:val="17"/>
              </w:rPr>
              <w:t xml:space="preserve">}</w:t>
            </w:r>
          </w:p>
        </w:tc>
      </w:tr>
    </w:tbl>
    <w:p>
      <w:pPr>
        <w:spacing w:after="100" w:before="100"/>
      </w:pPr>
    </w:p>
    <w:p>
      <w:pPr>
        <w:pStyle w:val="Heading2"/>
        <w:spacing w:after="80" w:before="220"/>
      </w:pPr>
      <w:r>
        <w:rPr>
          <w:rFonts w:ascii="Calibri" w:cs="Calibri" w:eastAsia="Calibri" w:hAnsi="Calibri"/>
          <w:b/>
          <w:bCs/>
          <w:color w:val="1B4F8A"/>
          <w:sz w:val="24"/>
          <w:szCs w:val="24"/>
        </w:rPr>
        <w:t xml:space="preserve">5.5 VENUE_STATUS Payload</w:t>
      </w:r>
    </w:p>
    <w:p>
      <w:pPr>
        <w:spacing w:after="50" w:before="5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0D1E3A" w:val="clear"/>
            <w:tcMar>
              <w:top w:type="dxa" w:w="100"/>
              <w:left w:type="dxa" w:w="120"/>
              <w:bottom w:type="dxa" w:w="100"/>
              <w:right w:type="dxa" w:w="120"/>
            </w:tcMar>
            <w:vAlign w:val="top"/>
          </w:tcPr>
          <w:p>
            <w:pPr>
              <w:spacing w:after="60" w:before="60"/>
              <w:jc w:val="left"/>
            </w:pPr>
            <w:r>
              <w:rPr>
                <w:rFonts w:ascii="Courier New" w:cs="Courier New" w:eastAsia="Courier New" w:hAnsi="Courier New"/>
                <w:color w:val="E8F0F8"/>
                <w:sz w:val="17"/>
                <w:szCs w:val="17"/>
              </w:rPr>
              <w:t xml:space="preserve">VENUE_STATUS payload {</w:t>
            </w:r>
          </w:p>
          <w:p>
            <w:pPr>
              <w:spacing w:after="60" w:before="60"/>
              <w:jc w:val="left"/>
            </w:pPr>
            <w:r>
              <w:rPr>
                <w:rFonts w:ascii="Courier New" w:cs="Courier New" w:eastAsia="Courier New" w:hAnsi="Courier New"/>
                <w:color w:val="E8F0F8"/>
                <w:sz w:val="17"/>
                <w:szCs w:val="17"/>
              </w:rPr>
              <w:t xml:space="preserve">  status:          'ONLINE' | 'DEGRADED' | 'OFFLINE'</w:t>
            </w:r>
          </w:p>
          <w:p>
            <w:pPr>
              <w:spacing w:after="60" w:before="60"/>
              <w:jc w:val="left"/>
            </w:pPr>
            <w:r>
              <w:rPr>
                <w:rFonts w:ascii="Courier New" w:cs="Courier New" w:eastAsia="Courier New" w:hAnsi="Courier New"/>
                <w:color w:val="E8F0F8"/>
                <w:sz w:val="17"/>
                <w:szCs w:val="17"/>
              </w:rPr>
              <w:t xml:space="preserve">  previous_status: 'ONLINE' | 'DEGRADED' | 'OFFLINE'</w:t>
            </w:r>
          </w:p>
          <w:p>
            <w:pPr>
              <w:spacing w:after="60" w:before="60"/>
              <w:jc w:val="left"/>
            </w:pPr>
            <w:r>
              <w:rPr>
                <w:rFonts w:ascii="Courier New" w:cs="Courier New" w:eastAsia="Courier New" w:hAnsi="Courier New"/>
                <w:color w:val="E8F0F8"/>
                <w:sz w:val="17"/>
                <w:szCs w:val="17"/>
              </w:rPr>
              <w:t xml:space="preserve">  reason:          string | null   // human-readable status change reason</w:t>
            </w:r>
          </w:p>
          <w:p>
            <w:pPr>
              <w:spacing w:after="60" w:before="60"/>
              <w:jc w:val="left"/>
            </w:pPr>
            <w:r>
              <w:rPr>
                <w:rFonts w:ascii="Courier New" w:cs="Courier New" w:eastAsia="Courier New" w:hAnsi="Courier New"/>
                <w:color w:val="E8F0F8"/>
                <w:sz w:val="17"/>
                <w:szCs w:val="17"/>
              </w:rPr>
              <w:t xml:space="preserve">  latency_ms:      number | null   // current observed venue latency</w:t>
            </w:r>
          </w:p>
          <w:p>
            <w:pPr>
              <w:spacing w:after="60" w:before="60"/>
              <w:jc w:val="left"/>
            </w:pPr>
            <w:r>
              <w:rPr>
                <w:rFonts w:ascii="Courier New" w:cs="Courier New" w:eastAsia="Courier New" w:hAnsi="Courier New"/>
                <w:color w:val="E8F0F8"/>
                <w:sz w:val="17"/>
                <w:szCs w:val="17"/>
              </w:rPr>
              <w:t xml:space="preserve">}</w:t>
            </w:r>
          </w:p>
        </w:tc>
      </w:tr>
    </w:tbl>
    <w:p>
      <w:pPr>
        <w:spacing w:after="150" w:before="15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00"/>
        <w:gridCol w:w="8346"/>
      </w:tblGrid>
      <w:tr>
        <w:tc>
          <w:tcPr>
            <w:tcW w:type="dxa" w:w="1400"/>
            <w:tcBorders>
              <w:top w:val="none" w:color="FFFFFF" w:sz="0"/>
              <w:left w:val="none" w:color="FFFFFF" w:sz="0"/>
              <w:bottom w:val="none" w:color="FFFFFF" w:sz="0"/>
              <w:right w:val="none" w:color="FFFFFF" w:sz="0"/>
            </w:tcBorders>
            <w:shd w:fill="0D1E3A" w:val="clear"/>
            <w:tcMar>
              <w:top w:type="dxa" w:w="100"/>
              <w:left w:type="dxa" w:w="120"/>
              <w:bottom w:type="dxa" w:w="100"/>
              <w:right w:type="dxa" w:w="120"/>
            </w:tcMar>
            <w:vAlign w:val="top"/>
          </w:tcPr>
          <w:p>
            <w:pPr>
              <w:spacing w:after="60" w:before="60"/>
              <w:jc w:val="left"/>
            </w:pPr>
            <w:r>
              <w:rPr>
                <w:rFonts w:ascii="Calibri" w:cs="Calibri" w:eastAsia="Calibri" w:hAnsi="Calibri"/>
                <w:b/>
                <w:bCs/>
                <w:color w:val="FFFFFF"/>
                <w:sz w:val="18"/>
                <w:szCs w:val="18"/>
              </w:rPr>
              <w:t xml:space="preserve">NORMATIVE: STALE FLAGGING</w:t>
            </w:r>
          </w:p>
        </w:tc>
        <w:tc>
          <w:tcPr>
            <w:tcW w:type="dxa" w:w="8346"/>
            <w:tcBorders>
              <w:top w:val="none" w:color="FFFFFF" w:sz="0"/>
              <w:left w:val="none" w:color="FFFFFF" w:sz="0"/>
              <w:bottom w:val="none" w:color="FFFFFF" w:sz="0"/>
              <w:right w:val="none" w:color="FFFFFF" w:sz="0"/>
            </w:tcBorders>
            <w:shd w:fill="E8EEF5" w:val="clear"/>
            <w:tcMar>
              <w:top w:type="dxa" w:w="100"/>
              <w:left w:type="dxa" w:w="120"/>
              <w:bottom w:type="dxa" w:w="100"/>
              <w:right w:type="dxa" w:w="120"/>
            </w:tcMar>
            <w:vAlign w:val="top"/>
          </w:tcPr>
          <w:p>
            <w:pPr>
              <w:spacing w:after="60" w:before="60"/>
              <w:jc w:val="left"/>
            </w:pPr>
            <w:r>
              <w:rPr>
                <w:rFonts w:ascii="Calibri" w:cs="Calibri" w:eastAsia="Calibri" w:hAnsi="Calibri"/>
                <w:color w:val="1A1A2E"/>
                <w:sz w:val="19"/>
                <w:szCs w:val="19"/>
              </w:rPr>
              <w:t xml:space="preserve">Events where the venue-reported timestamp (venue_ts) lags DACT captured_at by more than 500ms MUST have stale_flag set to true. Stale events MUST still be recorded — they are not discarded. Downstream layers are responsible for applying staleness thresholds from the stale_flag. DACT does not suppress stale data; it attributes it accurately.</w:t>
            </w:r>
          </w:p>
        </w:tc>
      </w:tr>
    </w:tbl>
    <w:p>
      <w:pPr>
        <w:spacing w:after="200" w:before="200"/>
      </w:pPr>
    </w:p>
    <w:p>
      <w:pPr>
        <w:pStyle w:val="Heading1"/>
        <w:pBdr>
          <w:bottom w:val="single" w:color="1B4F8A" w:sz="8" w:space="2"/>
        </w:pBdr>
        <w:spacing w:after="120" w:before="280"/>
      </w:pPr>
      <w:r>
        <w:rPr>
          <w:rFonts w:ascii="Calibri" w:cs="Calibri" w:eastAsia="Calibri" w:hAnsi="Calibri"/>
          <w:b/>
          <w:bCs/>
          <w:color w:val="0D1E3A"/>
          <w:sz w:val="28"/>
          <w:szCs w:val="28"/>
        </w:rPr>
        <w:t xml:space="preserve">6. Aggregation &amp; Normalisation (Normative)</w:t>
      </w:r>
    </w:p>
    <w:p>
      <w:pPr>
        <w:spacing w:after="60" w:before="80"/>
        <w:jc w:val="left"/>
      </w:pPr>
      <w:r>
        <w:rPr>
          <w:rFonts w:ascii="Calibri" w:cs="Calibri" w:eastAsia="Calibri" w:hAnsi="Calibri"/>
          <w:color w:val="000000"/>
          <w:sz w:val="20"/>
          <w:szCs w:val="20"/>
        </w:rPr>
        <w:t xml:space="preserve">DACT normalises fragmented, heterogeneous venue data into a unified, interoperable record. Normalisation preserves factual accuracy — it does not interpolate, smooth, or enhance the source data.</w:t>
      </w:r>
    </w:p>
    <w:p>
      <w:pPr>
        <w:spacing w:after="100" w:before="100"/>
      </w:pPr>
    </w:p>
    <w:p>
      <w:pPr>
        <w:pStyle w:val="Heading2"/>
        <w:spacing w:after="80" w:before="220"/>
      </w:pPr>
      <w:r>
        <w:rPr>
          <w:rFonts w:ascii="Calibri" w:cs="Calibri" w:eastAsia="Calibri" w:hAnsi="Calibri"/>
          <w:b/>
          <w:bCs/>
          <w:color w:val="1B4F8A"/>
          <w:sz w:val="24"/>
          <w:szCs w:val="24"/>
        </w:rPr>
        <w:t xml:space="preserve">6.1 Aggregation Parameters</w:t>
      </w:r>
    </w:p>
    <w:p>
      <w:pPr>
        <w:spacing w:after="50" w:before="5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6946"/>
      </w:tblGrid>
      <w:tr>
        <w:tc>
          <w:tcPr>
            <w:tcW w:type="dxa" w:w="2800"/>
            <w:tcBorders>
              <w:top w:val="single" w:color="D0D4DC" w:sz="4"/>
              <w:left w:val="single" w:color="D0D4DC" w:sz="4"/>
              <w:bottom w:val="single" w:color="D0D4DC" w:sz="4"/>
              <w:right w:val="single" w:color="D0D4DC" w:sz="4"/>
            </w:tcBorders>
            <w:shd w:fill="EEF2F8" w:val="clear"/>
            <w:tcMar>
              <w:top w:type="dxa" w:w="100"/>
              <w:left w:type="dxa" w:w="120"/>
              <w:bottom w:type="dxa" w:w="100"/>
              <w:right w:type="dxa" w:w="120"/>
            </w:tcMar>
            <w:vAlign w:val="top"/>
          </w:tcPr>
          <w:p>
            <w:pPr>
              <w:spacing w:after="60" w:before="60"/>
              <w:jc w:val="left"/>
            </w:pPr>
            <w:r>
              <w:rPr>
                <w:rFonts w:ascii="Calibri" w:cs="Calibri" w:eastAsia="Calibri" w:hAnsi="Calibri"/>
                <w:b/>
                <w:bCs/>
                <w:color w:val="0D1E3A"/>
                <w:sz w:val="19"/>
                <w:szCs w:val="19"/>
              </w:rPr>
              <w:t xml:space="preserve">Snapshot Frequency</w:t>
            </w:r>
          </w:p>
        </w:tc>
        <w:tc>
          <w:tcPr>
            <w:tcW w:type="dxa" w:w="6946"/>
            <w:tcBorders>
              <w:top w:val="single" w:color="D0D4DC" w:sz="4"/>
              <w:left w:val="single" w:color="D0D4DC" w:sz="4"/>
              <w:bottom w:val="single" w:color="D0D4DC" w:sz="4"/>
              <w:right w:val="single" w:color="D0D4DC" w:sz="4"/>
            </w:tcBorders>
            <w:shd w:fill="F2F4F7" w:val="clear"/>
            <w:tcMar>
              <w:top w:type="dxa" w:w="100"/>
              <w:left w:type="dxa" w:w="120"/>
              <w:bottom w:type="dxa" w:w="100"/>
              <w:right w:type="dxa" w:w="120"/>
            </w:tcMar>
            <w:vAlign w:val="top"/>
          </w:tcPr>
          <w:p>
            <w:pPr>
              <w:spacing w:after="60" w:before="60"/>
              <w:jc w:val="left"/>
            </w:pPr>
            <w:r>
              <w:rPr>
                <w:rFonts w:ascii="Calibri" w:cs="Calibri" w:eastAsia="Calibri" w:hAnsi="Calibri"/>
                <w:color w:val="1A1A2E"/>
                <w:sz w:val="19"/>
                <w:szCs w:val="19"/>
              </w:rPr>
              <w:t xml:space="preserve">100ms consolidated snapshots; sub-10ms delta updates for high-frequency venues</w:t>
            </w:r>
          </w:p>
        </w:tc>
      </w:tr>
      <w:tr>
        <w:tc>
          <w:tcPr>
            <w:tcW w:type="dxa" w:w="2800"/>
            <w:tcBorders>
              <w:top w:val="single" w:color="D0D4DC" w:sz="4"/>
              <w:left w:val="single" w:color="D0D4DC" w:sz="4"/>
              <w:bottom w:val="single" w:color="D0D4DC" w:sz="4"/>
              <w:right w:val="single" w:color="D0D4DC" w:sz="4"/>
            </w:tcBorders>
            <w:shd w:fill="F8F9FB" w:val="clear"/>
            <w:tcMar>
              <w:top w:type="dxa" w:w="100"/>
              <w:left w:type="dxa" w:w="120"/>
              <w:bottom w:type="dxa" w:w="100"/>
              <w:right w:type="dxa" w:w="120"/>
            </w:tcMar>
            <w:vAlign w:val="top"/>
          </w:tcPr>
          <w:p>
            <w:pPr>
              <w:spacing w:after="60" w:before="60"/>
              <w:jc w:val="left"/>
            </w:pPr>
            <w:r>
              <w:rPr>
                <w:rFonts w:ascii="Calibri" w:cs="Calibri" w:eastAsia="Calibri" w:hAnsi="Calibri"/>
                <w:b/>
                <w:bCs/>
                <w:color w:val="0D1E3A"/>
                <w:sz w:val="19"/>
                <w:szCs w:val="19"/>
              </w:rPr>
              <w:t xml:space="preserve">Depth Levels</w:t>
            </w:r>
          </w:p>
        </w:tc>
        <w:tc>
          <w:tcPr>
            <w:tcW w:type="dxa" w:w="6946"/>
            <w:tcBorders>
              <w:top w:val="single" w:color="D0D4DC" w:sz="4"/>
              <w:left w:val="single" w:color="D0D4DC" w:sz="4"/>
              <w:bottom w:val="single" w:color="D0D4DC" w:sz="4"/>
              <w:right w:val="single" w:color="D0D4DC" w:sz="4"/>
            </w:tcBorders>
            <w:shd w:fill="FFFFFF" w:val="clear"/>
            <w:tcMar>
              <w:top w:type="dxa" w:w="100"/>
              <w:left w:type="dxa" w:w="120"/>
              <w:bottom w:type="dxa" w:w="100"/>
              <w:right w:type="dxa" w:w="120"/>
            </w:tcMar>
            <w:vAlign w:val="top"/>
          </w:tcPr>
          <w:p>
            <w:pPr>
              <w:spacing w:after="60" w:before="60"/>
              <w:jc w:val="left"/>
            </w:pPr>
            <w:r>
              <w:rPr>
                <w:rFonts w:ascii="Calibri" w:cs="Calibri" w:eastAsia="Calibri" w:hAnsi="Calibri"/>
                <w:color w:val="1A1A2E"/>
                <w:sz w:val="19"/>
                <w:szCs w:val="19"/>
              </w:rPr>
              <w:t xml:space="preserve">Up to 1,000 price levels per side per venue per snapshot</w:t>
            </w:r>
          </w:p>
        </w:tc>
      </w:tr>
      <w:tr>
        <w:tc>
          <w:tcPr>
            <w:tcW w:type="dxa" w:w="2800"/>
            <w:tcBorders>
              <w:top w:val="single" w:color="D0D4DC" w:sz="4"/>
              <w:left w:val="single" w:color="D0D4DC" w:sz="4"/>
              <w:bottom w:val="single" w:color="D0D4DC" w:sz="4"/>
              <w:right w:val="single" w:color="D0D4DC" w:sz="4"/>
            </w:tcBorders>
            <w:shd w:fill="EEF2F8" w:val="clear"/>
            <w:tcMar>
              <w:top w:type="dxa" w:w="100"/>
              <w:left w:type="dxa" w:w="120"/>
              <w:bottom w:type="dxa" w:w="100"/>
              <w:right w:type="dxa" w:w="120"/>
            </w:tcMar>
            <w:vAlign w:val="top"/>
          </w:tcPr>
          <w:p>
            <w:pPr>
              <w:spacing w:after="60" w:before="60"/>
              <w:jc w:val="left"/>
            </w:pPr>
            <w:r>
              <w:rPr>
                <w:rFonts w:ascii="Calibri" w:cs="Calibri" w:eastAsia="Calibri" w:hAnsi="Calibri"/>
                <w:b/>
                <w:bCs/>
                <w:color w:val="0D1E3A"/>
                <w:sz w:val="19"/>
                <w:szCs w:val="19"/>
              </w:rPr>
              <w:t xml:space="preserve">Staleness Threshold</w:t>
            </w:r>
          </w:p>
        </w:tc>
        <w:tc>
          <w:tcPr>
            <w:tcW w:type="dxa" w:w="6946"/>
            <w:tcBorders>
              <w:top w:val="single" w:color="D0D4DC" w:sz="4"/>
              <w:left w:val="single" w:color="D0D4DC" w:sz="4"/>
              <w:bottom w:val="single" w:color="D0D4DC" w:sz="4"/>
              <w:right w:val="single" w:color="D0D4DC" w:sz="4"/>
            </w:tcBorders>
            <w:shd w:fill="F2F4F7" w:val="clear"/>
            <w:tcMar>
              <w:top w:type="dxa" w:w="100"/>
              <w:left w:type="dxa" w:w="120"/>
              <w:bottom w:type="dxa" w:w="100"/>
              <w:right w:type="dxa" w:w="120"/>
            </w:tcMar>
            <w:vAlign w:val="top"/>
          </w:tcPr>
          <w:p>
            <w:pPr>
              <w:spacing w:after="60" w:before="60"/>
              <w:jc w:val="left"/>
            </w:pPr>
            <w:r>
              <w:rPr>
                <w:rFonts w:ascii="Calibri" w:cs="Calibri" w:eastAsia="Calibri" w:hAnsi="Calibri"/>
                <w:color w:val="1A1A2E"/>
                <w:sz w:val="19"/>
                <w:szCs w:val="19"/>
              </w:rPr>
              <w:t xml:space="preserve">500ms. Events exceeding this lag receive stale_flag = true</w:t>
            </w:r>
          </w:p>
        </w:tc>
      </w:tr>
      <w:tr>
        <w:tc>
          <w:tcPr>
            <w:tcW w:type="dxa" w:w="2800"/>
            <w:tcBorders>
              <w:top w:val="single" w:color="D0D4DC" w:sz="4"/>
              <w:left w:val="single" w:color="D0D4DC" w:sz="4"/>
              <w:bottom w:val="single" w:color="D0D4DC" w:sz="4"/>
              <w:right w:val="single" w:color="D0D4DC" w:sz="4"/>
            </w:tcBorders>
            <w:shd w:fill="F8F9FB" w:val="clear"/>
            <w:tcMar>
              <w:top w:type="dxa" w:w="100"/>
              <w:left w:type="dxa" w:w="120"/>
              <w:bottom w:type="dxa" w:w="100"/>
              <w:right w:type="dxa" w:w="120"/>
            </w:tcMar>
            <w:vAlign w:val="top"/>
          </w:tcPr>
          <w:p>
            <w:pPr>
              <w:spacing w:after="60" w:before="60"/>
              <w:jc w:val="left"/>
            </w:pPr>
            <w:r>
              <w:rPr>
                <w:rFonts w:ascii="Calibri" w:cs="Calibri" w:eastAsia="Calibri" w:hAnsi="Calibri"/>
                <w:b/>
                <w:bCs/>
                <w:color w:val="0D1E3A"/>
                <w:sz w:val="19"/>
                <w:szCs w:val="19"/>
              </w:rPr>
              <w:t xml:space="preserve">NBBO Calculation</w:t>
            </w:r>
          </w:p>
        </w:tc>
        <w:tc>
          <w:tcPr>
            <w:tcW w:type="dxa" w:w="6946"/>
            <w:tcBorders>
              <w:top w:val="single" w:color="D0D4DC" w:sz="4"/>
              <w:left w:val="single" w:color="D0D4DC" w:sz="4"/>
              <w:bottom w:val="single" w:color="D0D4DC" w:sz="4"/>
              <w:right w:val="single" w:color="D0D4DC" w:sz="4"/>
            </w:tcBorders>
            <w:shd w:fill="FFFFFF" w:val="clear"/>
            <w:tcMar>
              <w:top w:type="dxa" w:w="100"/>
              <w:left w:type="dxa" w:w="120"/>
              <w:bottom w:type="dxa" w:w="100"/>
              <w:right w:type="dxa" w:w="120"/>
            </w:tcMar>
            <w:vAlign w:val="top"/>
          </w:tcPr>
          <w:p>
            <w:pPr>
              <w:spacing w:after="60" w:before="60"/>
              <w:jc w:val="left"/>
            </w:pPr>
            <w:r>
              <w:rPr>
                <w:rFonts w:ascii="Calibri" w:cs="Calibri" w:eastAsia="Calibri" w:hAnsi="Calibri"/>
                <w:color w:val="1A1A2E"/>
                <w:sz w:val="19"/>
                <w:szCs w:val="19"/>
              </w:rPr>
              <w:t xml:space="preserve">Cross-venue National Best Bid/Offer computed with full venue attribution. MUST identify the contributing venue for each leg.</w:t>
            </w:r>
          </w:p>
        </w:tc>
      </w:tr>
      <w:tr>
        <w:tc>
          <w:tcPr>
            <w:tcW w:type="dxa" w:w="2800"/>
            <w:tcBorders>
              <w:top w:val="single" w:color="D0D4DC" w:sz="4"/>
              <w:left w:val="single" w:color="D0D4DC" w:sz="4"/>
              <w:bottom w:val="single" w:color="D0D4DC" w:sz="4"/>
              <w:right w:val="single" w:color="D0D4DC" w:sz="4"/>
            </w:tcBorders>
            <w:shd w:fill="EEF2F8" w:val="clear"/>
            <w:tcMar>
              <w:top w:type="dxa" w:w="100"/>
              <w:left w:type="dxa" w:w="120"/>
              <w:bottom w:type="dxa" w:w="100"/>
              <w:right w:type="dxa" w:w="120"/>
            </w:tcMar>
            <w:vAlign w:val="top"/>
          </w:tcPr>
          <w:p>
            <w:pPr>
              <w:spacing w:after="60" w:before="60"/>
              <w:jc w:val="left"/>
            </w:pPr>
            <w:r>
              <w:rPr>
                <w:rFonts w:ascii="Calibri" w:cs="Calibri" w:eastAsia="Calibri" w:hAnsi="Calibri"/>
                <w:b/>
                <w:bCs/>
                <w:color w:val="0D1E3A"/>
                <w:sz w:val="19"/>
                <w:szCs w:val="19"/>
              </w:rPr>
              <w:t xml:space="preserve">Timestamp Normalisation</w:t>
            </w:r>
          </w:p>
        </w:tc>
        <w:tc>
          <w:tcPr>
            <w:tcW w:type="dxa" w:w="6946"/>
            <w:tcBorders>
              <w:top w:val="single" w:color="D0D4DC" w:sz="4"/>
              <w:left w:val="single" w:color="D0D4DC" w:sz="4"/>
              <w:bottom w:val="single" w:color="D0D4DC" w:sz="4"/>
              <w:right w:val="single" w:color="D0D4DC" w:sz="4"/>
            </w:tcBorders>
            <w:shd w:fill="F2F4F7" w:val="clear"/>
            <w:tcMar>
              <w:top w:type="dxa" w:w="100"/>
              <w:left w:type="dxa" w:w="120"/>
              <w:bottom w:type="dxa" w:w="100"/>
              <w:right w:type="dxa" w:w="120"/>
            </w:tcMar>
            <w:vAlign w:val="top"/>
          </w:tcPr>
          <w:p>
            <w:pPr>
              <w:spacing w:after="60" w:before="60"/>
              <w:jc w:val="left"/>
            </w:pPr>
            <w:r>
              <w:rPr>
                <w:rFonts w:ascii="Calibri" w:cs="Calibri" w:eastAsia="Calibri" w:hAnsi="Calibri"/>
                <w:color w:val="1A1A2E"/>
                <w:sz w:val="19"/>
                <w:szCs w:val="19"/>
              </w:rPr>
              <w:t xml:space="preserve">All timestamps normalised to microsecond-precision UTC. Venue clock offsets recorded in provenance.latencyMs.</w:t>
            </w:r>
          </w:p>
        </w:tc>
      </w:tr>
    </w:tbl>
    <w:p>
      <w:pPr>
        <w:spacing w:after="100" w:before="100"/>
      </w:pPr>
    </w:p>
    <w:p>
      <w:pPr>
        <w:pStyle w:val="Heading2"/>
        <w:spacing w:after="80" w:before="220"/>
      </w:pPr>
      <w:r>
        <w:rPr>
          <w:rFonts w:ascii="Calibri" w:cs="Calibri" w:eastAsia="Calibri" w:hAnsi="Calibri"/>
          <w:b/>
          <w:bCs/>
          <w:color w:val="1B4F8A"/>
          <w:sz w:val="24"/>
          <w:szCs w:val="24"/>
        </w:rPr>
        <w:t xml:space="preserve">6.2 Symbol Mapping</w:t>
      </w:r>
    </w:p>
    <w:p>
      <w:pPr>
        <w:spacing w:after="60" w:before="60"/>
        <w:jc w:val="left"/>
      </w:pPr>
      <w:r>
        <w:rPr>
          <w:rFonts w:ascii="Calibri" w:cs="Calibri" w:eastAsia="Calibri" w:hAnsi="Calibri"/>
          <w:color w:val="000000"/>
          <w:sz w:val="20"/>
          <w:szCs w:val="20"/>
        </w:rPr>
        <w:t xml:space="preserve">DACT maintains a canonical asset registry mapping venue-specific ticker symbols to canonical asset UUIDs. All events reference the canonical UUID, not venue-specific identifiers. Venue aliases are preserved in a separate mapping table for audit purposes.</w:t>
      </w:r>
    </w:p>
    <w:p>
      <w:pPr>
        <w:spacing w:after="50" w:before="5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c>
          <w:tcPr>
            <w:tcW w:type="dxa" w:w="2600"/>
            <w:tcBorders>
              <w:top w:val="single" w:color="D0D4DC" w:sz="4"/>
              <w:left w:val="single" w:color="D0D4DC" w:sz="4"/>
              <w:bottom w:val="single" w:color="D0D4DC" w:sz="4"/>
              <w:right w:val="single" w:color="D0D4DC" w:sz="4"/>
            </w:tcBorders>
            <w:shd w:fill="EEF2F8" w:val="clear"/>
            <w:tcMar>
              <w:top w:type="dxa" w:w="100"/>
              <w:left w:type="dxa" w:w="120"/>
              <w:bottom w:type="dxa" w:w="100"/>
              <w:right w:type="dxa" w:w="120"/>
            </w:tcMar>
            <w:vAlign w:val="top"/>
          </w:tcPr>
          <w:p>
            <w:pPr>
              <w:spacing w:after="60" w:before="60"/>
              <w:jc w:val="left"/>
            </w:pPr>
            <w:r>
              <w:rPr>
                <w:rFonts w:ascii="Calibri" w:cs="Calibri" w:eastAsia="Calibri" w:hAnsi="Calibri"/>
                <w:b/>
                <w:bCs/>
                <w:color w:val="0D1E3A"/>
                <w:sz w:val="19"/>
                <w:szCs w:val="19"/>
              </w:rPr>
              <w:t xml:space="preserve">Canonical Asset UUID</w:t>
            </w:r>
          </w:p>
        </w:tc>
        <w:tc>
          <w:tcPr>
            <w:tcW w:type="dxa" w:w="7146"/>
            <w:tcBorders>
              <w:top w:val="single" w:color="D0D4DC" w:sz="4"/>
              <w:left w:val="single" w:color="D0D4DC" w:sz="4"/>
              <w:bottom w:val="single" w:color="D0D4DC" w:sz="4"/>
              <w:right w:val="single" w:color="D0D4DC" w:sz="4"/>
            </w:tcBorders>
            <w:shd w:fill="F2F4F7" w:val="clear"/>
            <w:tcMar>
              <w:top w:type="dxa" w:w="100"/>
              <w:left w:type="dxa" w:w="120"/>
              <w:bottom w:type="dxa" w:w="100"/>
              <w:right w:type="dxa" w:w="120"/>
            </w:tcMar>
            <w:vAlign w:val="top"/>
          </w:tcPr>
          <w:p>
            <w:pPr>
              <w:spacing w:after="60" w:before="60"/>
              <w:jc w:val="left"/>
            </w:pPr>
            <w:r>
              <w:rPr>
                <w:rFonts w:ascii="Calibri" w:cs="Calibri" w:eastAsia="Calibri" w:hAnsi="Calibri"/>
                <w:color w:val="1A1A2E"/>
                <w:sz w:val="19"/>
                <w:szCs w:val="19"/>
              </w:rPr>
              <w:t xml:space="preserve">Stable, globally unique identifier assigned by Stratalink symbol registry</w:t>
            </w:r>
          </w:p>
        </w:tc>
      </w:tr>
      <w:tr>
        <w:tc>
          <w:tcPr>
            <w:tcW w:type="dxa" w:w="2600"/>
            <w:tcBorders>
              <w:top w:val="single" w:color="D0D4DC" w:sz="4"/>
              <w:left w:val="single" w:color="D0D4DC" w:sz="4"/>
              <w:bottom w:val="single" w:color="D0D4DC" w:sz="4"/>
              <w:right w:val="single" w:color="D0D4DC" w:sz="4"/>
            </w:tcBorders>
            <w:shd w:fill="F8F9FB" w:val="clear"/>
            <w:tcMar>
              <w:top w:type="dxa" w:w="100"/>
              <w:left w:type="dxa" w:w="120"/>
              <w:bottom w:type="dxa" w:w="100"/>
              <w:right w:type="dxa" w:w="120"/>
            </w:tcMar>
            <w:vAlign w:val="top"/>
          </w:tcPr>
          <w:p>
            <w:pPr>
              <w:spacing w:after="60" w:before="60"/>
              <w:jc w:val="left"/>
            </w:pPr>
            <w:r>
              <w:rPr>
                <w:rFonts w:ascii="Calibri" w:cs="Calibri" w:eastAsia="Calibri" w:hAnsi="Calibri"/>
                <w:b/>
                <w:bCs/>
                <w:color w:val="0D1E3A"/>
                <w:sz w:val="19"/>
                <w:szCs w:val="19"/>
              </w:rPr>
              <w:t xml:space="preserve">Venue Alias Mapping</w:t>
            </w:r>
          </w:p>
        </w:tc>
        <w:tc>
          <w:tcPr>
            <w:tcW w:type="dxa" w:w="7146"/>
            <w:tcBorders>
              <w:top w:val="single" w:color="D0D4DC" w:sz="4"/>
              <w:left w:val="single" w:color="D0D4DC" w:sz="4"/>
              <w:bottom w:val="single" w:color="D0D4DC" w:sz="4"/>
              <w:right w:val="single" w:color="D0D4DC" w:sz="4"/>
            </w:tcBorders>
            <w:shd w:fill="FFFFFF" w:val="clear"/>
            <w:tcMar>
              <w:top w:type="dxa" w:w="100"/>
              <w:left w:type="dxa" w:w="120"/>
              <w:bottom w:type="dxa" w:w="100"/>
              <w:right w:type="dxa" w:w="120"/>
            </w:tcMar>
            <w:vAlign w:val="top"/>
          </w:tcPr>
          <w:p>
            <w:pPr>
              <w:spacing w:after="60" w:before="60"/>
              <w:jc w:val="left"/>
            </w:pPr>
            <w:r>
              <w:rPr>
                <w:rFonts w:ascii="Calibri" w:cs="Calibri" w:eastAsia="Calibri" w:hAnsi="Calibri"/>
                <w:color w:val="1A1A2E"/>
                <w:sz w:val="19"/>
                <w:szCs w:val="19"/>
              </w:rPr>
              <w:t xml:space="preserve">Complete venue-specific alias table retained alongside canonical registry. MUST be version-controlled.</w:t>
            </w:r>
          </w:p>
        </w:tc>
      </w:tr>
      <w:tr>
        <w:tc>
          <w:tcPr>
            <w:tcW w:type="dxa" w:w="2600"/>
            <w:tcBorders>
              <w:top w:val="single" w:color="D0D4DC" w:sz="4"/>
              <w:left w:val="single" w:color="D0D4DC" w:sz="4"/>
              <w:bottom w:val="single" w:color="D0D4DC" w:sz="4"/>
              <w:right w:val="single" w:color="D0D4DC" w:sz="4"/>
            </w:tcBorders>
            <w:shd w:fill="EEF2F8" w:val="clear"/>
            <w:tcMar>
              <w:top w:type="dxa" w:w="100"/>
              <w:left w:type="dxa" w:w="120"/>
              <w:bottom w:type="dxa" w:w="100"/>
              <w:right w:type="dxa" w:w="120"/>
            </w:tcMar>
            <w:vAlign w:val="top"/>
          </w:tcPr>
          <w:p>
            <w:pPr>
              <w:spacing w:after="60" w:before="60"/>
              <w:jc w:val="left"/>
            </w:pPr>
            <w:r>
              <w:rPr>
                <w:rFonts w:ascii="Calibri" w:cs="Calibri" w:eastAsia="Calibri" w:hAnsi="Calibri"/>
                <w:b/>
                <w:bCs/>
                <w:color w:val="0D1E3A"/>
                <w:sz w:val="19"/>
                <w:szCs w:val="19"/>
              </w:rPr>
              <w:t xml:space="preserve">Symbol Resolution</w:t>
            </w:r>
          </w:p>
        </w:tc>
        <w:tc>
          <w:tcPr>
            <w:tcW w:type="dxa" w:w="7146"/>
            <w:tcBorders>
              <w:top w:val="single" w:color="D0D4DC" w:sz="4"/>
              <w:left w:val="single" w:color="D0D4DC" w:sz="4"/>
              <w:bottom w:val="single" w:color="D0D4DC" w:sz="4"/>
              <w:right w:val="single" w:color="D0D4DC" w:sz="4"/>
            </w:tcBorders>
            <w:shd w:fill="F2F4F7" w:val="clear"/>
            <w:tcMar>
              <w:top w:type="dxa" w:w="100"/>
              <w:left w:type="dxa" w:w="120"/>
              <w:bottom w:type="dxa" w:w="100"/>
              <w:right w:type="dxa" w:w="120"/>
            </w:tcMar>
            <w:vAlign w:val="top"/>
          </w:tcPr>
          <w:p>
            <w:pPr>
              <w:spacing w:after="60" w:before="60"/>
              <w:jc w:val="left"/>
            </w:pPr>
            <w:r>
              <w:rPr>
                <w:rFonts w:ascii="Calibri" w:cs="Calibri" w:eastAsia="Calibri" w:hAnsi="Calibri"/>
                <w:color w:val="1A1A2E"/>
                <w:sz w:val="19"/>
                <w:szCs w:val="19"/>
              </w:rPr>
              <w:t xml:space="preserve">Incoming events MUST be resolved to canonical UUID before recording. Unresolvable symbols MUST be rejected and logged.</w:t>
            </w:r>
          </w:p>
        </w:tc>
      </w:tr>
    </w:tbl>
    <w:p>
      <w:pPr>
        <w:spacing w:after="100" w:before="100"/>
      </w:pPr>
    </w:p>
    <w:p>
      <w:pPr>
        <w:pStyle w:val="Heading2"/>
        <w:spacing w:after="80" w:before="220"/>
      </w:pPr>
      <w:r>
        <w:rPr>
          <w:rFonts w:ascii="Calibri" w:cs="Calibri" w:eastAsia="Calibri" w:hAnsi="Calibri"/>
          <w:b/>
          <w:bCs/>
          <w:color w:val="1B4F8A"/>
          <w:sz w:val="24"/>
          <w:szCs w:val="24"/>
        </w:rPr>
        <w:t xml:space="preserve">6.3 Latency Compensation</w:t>
      </w:r>
    </w:p>
    <w:p>
      <w:pPr>
        <w:spacing w:after="60" w:before="60"/>
        <w:jc w:val="left"/>
      </w:pPr>
      <w:r>
        <w:rPr>
          <w:rFonts w:ascii="Calibri" w:cs="Calibri" w:eastAsia="Calibri" w:hAnsi="Calibri"/>
          <w:color w:val="000000"/>
          <w:sz w:val="20"/>
          <w:szCs w:val="20"/>
        </w:rPr>
        <w:t xml:space="preserve">DACT applies venue-specific latency models to estimate the gap between market occurrence and DACT ingestion. Latency estimates are informative — they do not alter captured_at timestamps. The provenance.latencyMs field records observed latency at ingestion time for each event.</w:t>
      </w:r>
    </w:p>
    <w:p>
      <w:pPr>
        <w:spacing w:after="100" w:before="1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00"/>
        <w:gridCol w:w="8346"/>
      </w:tblGrid>
      <w:tr>
        <w:tc>
          <w:tcPr>
            <w:tcW w:type="dxa" w:w="1400"/>
            <w:tcBorders>
              <w:top w:val="none" w:color="FFFFFF" w:sz="0"/>
              <w:left w:val="none" w:color="FFFFFF" w:sz="0"/>
              <w:bottom w:val="none" w:color="FFFFFF" w:sz="0"/>
              <w:right w:val="none" w:color="FFFFFF" w:sz="0"/>
            </w:tcBorders>
            <w:shd w:fill="0D1E3A" w:val="clear"/>
            <w:tcMar>
              <w:top w:type="dxa" w:w="100"/>
              <w:left w:type="dxa" w:w="120"/>
              <w:bottom w:type="dxa" w:w="100"/>
              <w:right w:type="dxa" w:w="120"/>
            </w:tcMar>
            <w:vAlign w:val="top"/>
          </w:tcPr>
          <w:p>
            <w:pPr>
              <w:spacing w:after="60" w:before="60"/>
              <w:jc w:val="left"/>
            </w:pPr>
            <w:r>
              <w:rPr>
                <w:rFonts w:ascii="Calibri" w:cs="Calibri" w:eastAsia="Calibri" w:hAnsi="Calibri"/>
                <w:b/>
                <w:bCs/>
                <w:color w:val="FFFFFF"/>
                <w:sz w:val="18"/>
                <w:szCs w:val="18"/>
              </w:rPr>
              <w:t xml:space="preserve">NORMATIVE: NORMALISATION BOUNDARY</w:t>
            </w:r>
          </w:p>
        </w:tc>
        <w:tc>
          <w:tcPr>
            <w:tcW w:type="dxa" w:w="8346"/>
            <w:tcBorders>
              <w:top w:val="none" w:color="FFFFFF" w:sz="0"/>
              <w:left w:val="none" w:color="FFFFFF" w:sz="0"/>
              <w:bottom w:val="none" w:color="FFFFFF" w:sz="0"/>
              <w:right w:val="none" w:color="FFFFFF" w:sz="0"/>
            </w:tcBorders>
            <w:shd w:fill="E8EEF5" w:val="clear"/>
            <w:tcMar>
              <w:top w:type="dxa" w:w="100"/>
              <w:left w:type="dxa" w:w="120"/>
              <w:bottom w:type="dxa" w:w="100"/>
              <w:right w:type="dxa" w:w="120"/>
            </w:tcMar>
            <w:vAlign w:val="top"/>
          </w:tcPr>
          <w:p>
            <w:pPr>
              <w:spacing w:after="60" w:before="60"/>
              <w:jc w:val="left"/>
            </w:pPr>
            <w:r>
              <w:rPr>
                <w:rFonts w:ascii="Calibri" w:cs="Calibri" w:eastAsia="Calibri" w:hAnsi="Calibri"/>
                <w:color w:val="1A1A2E"/>
                <w:sz w:val="19"/>
                <w:szCs w:val="19"/>
              </w:rPr>
              <w:t xml:space="preserve">Normalisation MUST NOT alter the factual content of source data. It MAY: convert units to canonical format; resolve venue-specific symbols to canonical UUIDs; normalise timestamps to UTC; compute derived fields (spread, mid-price) from raw bid/ask data.</w:t>
            </w:r>
          </w:p>
          <w:p>
            <w:pPr>
              <w:spacing w:after="60" w:before="60"/>
              <w:jc w:val="left"/>
            </w:pPr>
            <w:r>
              <w:rPr>
                <w:rFonts w:ascii="Calibri" w:cs="Calibri" w:eastAsia="Calibri" w:hAnsi="Calibri"/>
                <w:color w:val="1A1A2E"/>
                <w:sz w:val="19"/>
                <w:szCs w:val="19"/>
              </w:rPr>
              <w:t xml:space="preserve"/>
            </w:r>
          </w:p>
          <w:p>
            <w:pPr>
              <w:spacing w:after="60" w:before="60"/>
              <w:jc w:val="left"/>
            </w:pPr>
            <w:r>
              <w:rPr>
                <w:rFonts w:ascii="Calibri" w:cs="Calibri" w:eastAsia="Calibri" w:hAnsi="Calibri"/>
                <w:color w:val="1A1A2E"/>
                <w:sz w:val="19"/>
                <w:szCs w:val="19"/>
              </w:rPr>
              <w:t xml:space="preserve">Normalisation MUST NOT: interpolate missing data; smooth or filter price levels; adjust quantities; infer values not present in the source event.</w:t>
            </w:r>
          </w:p>
        </w:tc>
      </w:tr>
    </w:tbl>
    <w:p>
      <w:pPr>
        <w:spacing w:after="200" w:before="200"/>
      </w:pPr>
    </w:p>
    <w:p>
      <w:pPr>
        <w:pStyle w:val="Heading1"/>
        <w:pBdr>
          <w:bottom w:val="single" w:color="1B4F8A" w:sz="8" w:space="2"/>
        </w:pBdr>
        <w:spacing w:after="120" w:before="280"/>
      </w:pPr>
      <w:r>
        <w:rPr>
          <w:rFonts w:ascii="Calibri" w:cs="Calibri" w:eastAsia="Calibri" w:hAnsi="Calibri"/>
          <w:b/>
          <w:bCs/>
          <w:color w:val="0D1E3A"/>
          <w:sz w:val="28"/>
          <w:szCs w:val="28"/>
        </w:rPr>
        <w:t xml:space="preserve">7. Market Venue Coverage (Normative)</w:t>
      </w:r>
    </w:p>
    <w:p>
      <w:pPr>
        <w:spacing w:after="60" w:before="80"/>
        <w:jc w:val="left"/>
      </w:pPr>
      <w:r>
        <w:rPr>
          <w:rFonts w:ascii="Calibri" w:cs="Calibri" w:eastAsia="Calibri" w:hAnsi="Calibri"/>
          <w:color w:val="000000"/>
          <w:sz w:val="20"/>
          <w:szCs w:val="20"/>
        </w:rPr>
        <w:t xml:space="preserve">DACT supports four venue categories, each with distinct ingestion methods. Venue coverage within a given deployment is defined by the Declared Supervisory Universe (DSU).</w:t>
      </w:r>
    </w:p>
    <w:p>
      <w:pPr>
        <w:spacing w:after="100" w:before="100"/>
      </w:pPr>
    </w:p>
    <w:p>
      <w:pPr>
        <w:pStyle w:val="Heading2"/>
        <w:spacing w:after="80" w:before="220"/>
      </w:pPr>
      <w:r>
        <w:rPr>
          <w:rFonts w:ascii="Calibri" w:cs="Calibri" w:eastAsia="Calibri" w:hAnsi="Calibri"/>
          <w:b/>
          <w:bCs/>
          <w:color w:val="1B4F8A"/>
          <w:sz w:val="24"/>
          <w:szCs w:val="24"/>
        </w:rPr>
        <w:t xml:space="preserve">7.1 Venue Categories</w:t>
      </w:r>
    </w:p>
    <w:p>
      <w:pPr>
        <w:spacing w:after="50" w:before="5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546"/>
      </w:tblGrid>
      <w:tr>
        <w:tc>
          <w:tcPr>
            <w:tcW w:type="dxa" w:w="1800"/>
            <w:tcBorders>
              <w:top w:val="single" w:color="0D1E3A" w:sz="4"/>
              <w:left w:val="single" w:color="0D1E3A" w:sz="4"/>
              <w:bottom w:val="single" w:color="0D1E3A" w:sz="4"/>
              <w:right w:val="single" w:color="0D1E3A" w:sz="4"/>
            </w:tcBorders>
            <w:shd w:fill="0D1E3A" w:val="clear"/>
            <w:tcMar>
              <w:top w:type="dxa" w:w="100"/>
              <w:left w:type="dxa" w:w="120"/>
              <w:bottom w:type="dxa" w:w="100"/>
              <w:right w:type="dxa" w:w="120"/>
            </w:tcMar>
            <w:vAlign w:val="top"/>
          </w:tcPr>
          <w:p>
            <w:pPr>
              <w:spacing w:after="60" w:before="60"/>
              <w:jc w:val="left"/>
            </w:pPr>
            <w:r>
              <w:rPr>
                <w:rFonts w:ascii="Calibri" w:cs="Calibri" w:eastAsia="Calibri" w:hAnsi="Calibri"/>
                <w:b/>
                <w:bCs/>
                <w:color w:val="FFFFFF"/>
                <w:sz w:val="18"/>
                <w:szCs w:val="18"/>
              </w:rPr>
              <w:t xml:space="preserve">Category</w:t>
            </w:r>
          </w:p>
        </w:tc>
        <w:tc>
          <w:tcPr>
            <w:tcW w:type="dxa" w:w="3400"/>
            <w:tcBorders>
              <w:top w:val="single" w:color="0D1E3A" w:sz="4"/>
              <w:left w:val="single" w:color="0D1E3A" w:sz="4"/>
              <w:bottom w:val="single" w:color="0D1E3A" w:sz="4"/>
              <w:right w:val="single" w:color="0D1E3A" w:sz="4"/>
            </w:tcBorders>
            <w:shd w:fill="0D1E3A" w:val="clear"/>
            <w:tcMar>
              <w:top w:type="dxa" w:w="100"/>
              <w:left w:type="dxa" w:w="120"/>
              <w:bottom w:type="dxa" w:w="100"/>
              <w:right w:type="dxa" w:w="120"/>
            </w:tcMar>
            <w:vAlign w:val="top"/>
          </w:tcPr>
          <w:p>
            <w:pPr>
              <w:spacing w:after="60" w:before="60"/>
              <w:jc w:val="left"/>
            </w:pPr>
            <w:r>
              <w:rPr>
                <w:rFonts w:ascii="Calibri" w:cs="Calibri" w:eastAsia="Calibri" w:hAnsi="Calibri"/>
                <w:b/>
                <w:bCs/>
                <w:color w:val="FFFFFF"/>
                <w:sz w:val="18"/>
                <w:szCs w:val="18"/>
              </w:rPr>
              <w:t xml:space="preserve">Representative Venues</w:t>
            </w:r>
          </w:p>
        </w:tc>
        <w:tc>
          <w:tcPr>
            <w:tcW w:type="dxa" w:w="4546"/>
            <w:tcBorders>
              <w:top w:val="single" w:color="0D1E3A" w:sz="4"/>
              <w:left w:val="single" w:color="0D1E3A" w:sz="4"/>
              <w:bottom w:val="single" w:color="0D1E3A" w:sz="4"/>
              <w:right w:val="single" w:color="0D1E3A" w:sz="4"/>
            </w:tcBorders>
            <w:shd w:fill="0D1E3A" w:val="clear"/>
            <w:tcMar>
              <w:top w:type="dxa" w:w="100"/>
              <w:left w:type="dxa" w:w="120"/>
              <w:bottom w:type="dxa" w:w="100"/>
              <w:right w:type="dxa" w:w="120"/>
            </w:tcMar>
            <w:vAlign w:val="top"/>
          </w:tcPr>
          <w:p>
            <w:pPr>
              <w:spacing w:after="60" w:before="60"/>
              <w:jc w:val="left"/>
            </w:pPr>
            <w:r>
              <w:rPr>
                <w:rFonts w:ascii="Calibri" w:cs="Calibri" w:eastAsia="Calibri" w:hAnsi="Calibri"/>
                <w:b/>
                <w:bCs/>
                <w:color w:val="FFFFFF"/>
                <w:sz w:val="18"/>
                <w:szCs w:val="18"/>
              </w:rPr>
              <w:t xml:space="preserve">Ingestion Method</w:t>
            </w:r>
          </w:p>
        </w:tc>
      </w:tr>
      <w:tr>
        <w:tc>
          <w:tcPr>
            <w:tcW w:type="dxa" w:w="1800"/>
            <w:tcBorders>
              <w:top w:val="single" w:color="D0D4DC" w:sz="4"/>
              <w:left w:val="single" w:color="D0D4DC" w:sz="4"/>
              <w:bottom w:val="single" w:color="D0D4DC" w:sz="4"/>
              <w:right w:val="single" w:color="D0D4DC" w:sz="4"/>
            </w:tcBorders>
            <w:shd w:fill="EEF2F8" w:val="clear"/>
            <w:tcMar>
              <w:top w:type="dxa" w:w="100"/>
              <w:left w:type="dxa" w:w="120"/>
              <w:bottom w:type="dxa" w:w="100"/>
              <w:right w:type="dxa" w:w="120"/>
            </w:tcMar>
            <w:vAlign w:val="top"/>
          </w:tcPr>
          <w:p>
            <w:pPr>
              <w:spacing w:after="60" w:before="60"/>
              <w:jc w:val="left"/>
            </w:pPr>
            <w:r>
              <w:rPr>
                <w:rFonts w:ascii="Calibri" w:cs="Calibri" w:eastAsia="Calibri" w:hAnsi="Calibri"/>
                <w:b/>
                <w:bCs/>
                <w:color w:val="0D1E3A"/>
                <w:sz w:val="19"/>
                <w:szCs w:val="19"/>
              </w:rPr>
              <w:t xml:space="preserve">CEX (Centralised)</w:t>
            </w:r>
          </w:p>
        </w:tc>
        <w:tc>
          <w:tcPr>
            <w:tcW w:type="dxa" w:w="3400"/>
            <w:tcBorders>
              <w:top w:val="single" w:color="D0D4DC" w:sz="4"/>
              <w:left w:val="single" w:color="D0D4DC" w:sz="4"/>
              <w:bottom w:val="single" w:color="D0D4DC" w:sz="4"/>
              <w:right w:val="single" w:color="D0D4DC" w:sz="4"/>
            </w:tcBorders>
            <w:shd w:fill="F2F4F7" w:val="clear"/>
            <w:tcMar>
              <w:top w:type="dxa" w:w="100"/>
              <w:left w:type="dxa" w:w="120"/>
              <w:bottom w:type="dxa" w:w="100"/>
              <w:right w:type="dxa" w:w="120"/>
            </w:tcMar>
            <w:vAlign w:val="top"/>
          </w:tcPr>
          <w:p>
            <w:pPr>
              <w:spacing w:after="60" w:before="60"/>
              <w:jc w:val="left"/>
            </w:pPr>
            <w:r>
              <w:rPr>
                <w:rFonts w:ascii="Calibri" w:cs="Calibri" w:eastAsia="Calibri" w:hAnsi="Calibri"/>
                <w:color w:val="000000"/>
                <w:sz w:val="19"/>
                <w:szCs w:val="19"/>
              </w:rPr>
              <w:t xml:space="preserve">Binance, Coinbase, Kraken, OKX, Bybit, Bitfinex, KuCoin, Gate.io, MEXC, HTX</w:t>
            </w:r>
          </w:p>
        </w:tc>
        <w:tc>
          <w:tcPr>
            <w:tcW w:type="dxa" w:w="4546"/>
            <w:tcBorders>
              <w:top w:val="single" w:color="D0D4DC" w:sz="4"/>
              <w:left w:val="single" w:color="D0D4DC" w:sz="4"/>
              <w:bottom w:val="single" w:color="D0D4DC" w:sz="4"/>
              <w:right w:val="single" w:color="D0D4DC" w:sz="4"/>
            </w:tcBorders>
            <w:shd w:fill="F2F4F7" w:val="clear"/>
            <w:tcMar>
              <w:top w:type="dxa" w:w="100"/>
              <w:left w:type="dxa" w:w="120"/>
              <w:bottom w:type="dxa" w:w="100"/>
              <w:right w:type="dxa" w:w="120"/>
            </w:tcMar>
            <w:vAlign w:val="top"/>
          </w:tcPr>
          <w:p>
            <w:pPr>
              <w:spacing w:after="60" w:before="60"/>
              <w:jc w:val="left"/>
            </w:pPr>
            <w:r>
              <w:rPr>
                <w:rFonts w:ascii="Calibri" w:cs="Calibri" w:eastAsia="Calibri" w:hAnsi="Calibri"/>
                <w:color w:val="6B7280"/>
                <w:sz w:val="19"/>
                <w:szCs w:val="19"/>
              </w:rPr>
              <w:t xml:space="preserve">WebSocket / REST real-time orderbook and trade feeds</w:t>
            </w:r>
          </w:p>
        </w:tc>
      </w:tr>
      <w:tr>
        <w:tc>
          <w:tcPr>
            <w:tcW w:type="dxa" w:w="1800"/>
            <w:tcBorders>
              <w:top w:val="single" w:color="D0D4DC" w:sz="4"/>
              <w:left w:val="single" w:color="D0D4DC" w:sz="4"/>
              <w:bottom w:val="single" w:color="D0D4DC" w:sz="4"/>
              <w:right w:val="single" w:color="D0D4DC" w:sz="4"/>
            </w:tcBorders>
            <w:shd w:fill="F8F9FB" w:val="clear"/>
            <w:tcMar>
              <w:top w:type="dxa" w:w="100"/>
              <w:left w:type="dxa" w:w="120"/>
              <w:bottom w:type="dxa" w:w="100"/>
              <w:right w:type="dxa" w:w="120"/>
            </w:tcMar>
            <w:vAlign w:val="top"/>
          </w:tcPr>
          <w:p>
            <w:pPr>
              <w:spacing w:after="60" w:before="60"/>
              <w:jc w:val="left"/>
            </w:pPr>
            <w:r>
              <w:rPr>
                <w:rFonts w:ascii="Calibri" w:cs="Calibri" w:eastAsia="Calibri" w:hAnsi="Calibri"/>
                <w:b/>
                <w:bCs/>
                <w:color w:val="0D1E3A"/>
                <w:sz w:val="19"/>
                <w:szCs w:val="19"/>
              </w:rPr>
              <w:t xml:space="preserve">DEX (Decentralised)</w:t>
            </w:r>
          </w:p>
        </w:tc>
        <w:tc>
          <w:tcPr>
            <w:tcW w:type="dxa" w:w="3400"/>
            <w:tcBorders>
              <w:top w:val="single" w:color="D0D4DC" w:sz="4"/>
              <w:left w:val="single" w:color="D0D4DC" w:sz="4"/>
              <w:bottom w:val="single" w:color="D0D4DC" w:sz="4"/>
              <w:right w:val="single" w:color="D0D4DC" w:sz="4"/>
            </w:tcBorders>
            <w:shd w:fill="FFFFFF" w:val="clear"/>
            <w:tcMar>
              <w:top w:type="dxa" w:w="100"/>
              <w:left w:type="dxa" w:w="120"/>
              <w:bottom w:type="dxa" w:w="100"/>
              <w:right w:type="dxa" w:w="120"/>
            </w:tcMar>
            <w:vAlign w:val="top"/>
          </w:tcPr>
          <w:p>
            <w:pPr>
              <w:spacing w:after="60" w:before="60"/>
              <w:jc w:val="left"/>
            </w:pPr>
            <w:r>
              <w:rPr>
                <w:rFonts w:ascii="Calibri" w:cs="Calibri" w:eastAsia="Calibri" w:hAnsi="Calibri"/>
                <w:color w:val="000000"/>
                <w:sz w:val="19"/>
                <w:szCs w:val="19"/>
              </w:rPr>
              <w:t xml:space="preserve">Uniswap v2/v3/v4, Curve, Balancer, SushiSwap, PancakeSwap, Raydium, Orca</w:t>
            </w:r>
          </w:p>
        </w:tc>
        <w:tc>
          <w:tcPr>
            <w:tcW w:type="dxa" w:w="4546"/>
            <w:tcBorders>
              <w:top w:val="single" w:color="D0D4DC" w:sz="4"/>
              <w:left w:val="single" w:color="D0D4DC" w:sz="4"/>
              <w:bottom w:val="single" w:color="D0D4DC" w:sz="4"/>
              <w:right w:val="single" w:color="D0D4DC" w:sz="4"/>
            </w:tcBorders>
            <w:shd w:fill="FFFFFF" w:val="clear"/>
            <w:tcMar>
              <w:top w:type="dxa" w:w="100"/>
              <w:left w:type="dxa" w:w="120"/>
              <w:bottom w:type="dxa" w:w="100"/>
              <w:right w:type="dxa" w:w="120"/>
            </w:tcMar>
            <w:vAlign w:val="top"/>
          </w:tcPr>
          <w:p>
            <w:pPr>
              <w:spacing w:after="60" w:before="60"/>
              <w:jc w:val="left"/>
            </w:pPr>
            <w:r>
              <w:rPr>
                <w:rFonts w:ascii="Calibri" w:cs="Calibri" w:eastAsia="Calibri" w:hAnsi="Calibri"/>
                <w:color w:val="6B7280"/>
                <w:sz w:val="19"/>
                <w:szCs w:val="19"/>
              </w:rPr>
              <w:t xml:space="preserve">The Graph subgraphs; custom indexers; RPC/archive node queries</w:t>
            </w:r>
          </w:p>
        </w:tc>
      </w:tr>
      <w:tr>
        <w:tc>
          <w:tcPr>
            <w:tcW w:type="dxa" w:w="1800"/>
            <w:tcBorders>
              <w:top w:val="single" w:color="D0D4DC" w:sz="4"/>
              <w:left w:val="single" w:color="D0D4DC" w:sz="4"/>
              <w:bottom w:val="single" w:color="D0D4DC" w:sz="4"/>
              <w:right w:val="single" w:color="D0D4DC" w:sz="4"/>
            </w:tcBorders>
            <w:shd w:fill="EEF2F8" w:val="clear"/>
            <w:tcMar>
              <w:top w:type="dxa" w:w="100"/>
              <w:left w:type="dxa" w:w="120"/>
              <w:bottom w:type="dxa" w:w="100"/>
              <w:right w:type="dxa" w:w="120"/>
            </w:tcMar>
            <w:vAlign w:val="top"/>
          </w:tcPr>
          <w:p>
            <w:pPr>
              <w:spacing w:after="60" w:before="60"/>
              <w:jc w:val="left"/>
            </w:pPr>
            <w:r>
              <w:rPr>
                <w:rFonts w:ascii="Calibri" w:cs="Calibri" w:eastAsia="Calibri" w:hAnsi="Calibri"/>
                <w:b/>
                <w:bCs/>
                <w:color w:val="0D1E3A"/>
                <w:sz w:val="19"/>
                <w:szCs w:val="19"/>
              </w:rPr>
              <w:t xml:space="preserve">RFQ / OTC</w:t>
            </w:r>
          </w:p>
        </w:tc>
        <w:tc>
          <w:tcPr>
            <w:tcW w:type="dxa" w:w="3400"/>
            <w:tcBorders>
              <w:top w:val="single" w:color="D0D4DC" w:sz="4"/>
              <w:left w:val="single" w:color="D0D4DC" w:sz="4"/>
              <w:bottom w:val="single" w:color="D0D4DC" w:sz="4"/>
              <w:right w:val="single" w:color="D0D4DC" w:sz="4"/>
            </w:tcBorders>
            <w:shd w:fill="F2F4F7" w:val="clear"/>
            <w:tcMar>
              <w:top w:type="dxa" w:w="100"/>
              <w:left w:type="dxa" w:w="120"/>
              <w:bottom w:type="dxa" w:w="100"/>
              <w:right w:type="dxa" w:w="120"/>
            </w:tcMar>
            <w:vAlign w:val="top"/>
          </w:tcPr>
          <w:p>
            <w:pPr>
              <w:spacing w:after="60" w:before="60"/>
              <w:jc w:val="left"/>
            </w:pPr>
            <w:r>
              <w:rPr>
                <w:rFonts w:ascii="Calibri" w:cs="Calibri" w:eastAsia="Calibri" w:hAnsi="Calibri"/>
                <w:color w:val="000000"/>
                <w:sz w:val="19"/>
                <w:szCs w:val="19"/>
              </w:rPr>
              <w:t xml:space="preserve">Request-for-quote desks; institutional OTC liquidity providers</w:t>
            </w:r>
          </w:p>
        </w:tc>
        <w:tc>
          <w:tcPr>
            <w:tcW w:type="dxa" w:w="4546"/>
            <w:tcBorders>
              <w:top w:val="single" w:color="D0D4DC" w:sz="4"/>
              <w:left w:val="single" w:color="D0D4DC" w:sz="4"/>
              <w:bottom w:val="single" w:color="D0D4DC" w:sz="4"/>
              <w:right w:val="single" w:color="D0D4DC" w:sz="4"/>
            </w:tcBorders>
            <w:shd w:fill="F2F4F7" w:val="clear"/>
            <w:tcMar>
              <w:top w:type="dxa" w:w="100"/>
              <w:left w:type="dxa" w:w="120"/>
              <w:bottom w:type="dxa" w:w="100"/>
              <w:right w:type="dxa" w:w="120"/>
            </w:tcMar>
            <w:vAlign w:val="top"/>
          </w:tcPr>
          <w:p>
            <w:pPr>
              <w:spacing w:after="60" w:before="60"/>
              <w:jc w:val="left"/>
            </w:pPr>
            <w:r>
              <w:rPr>
                <w:rFonts w:ascii="Calibri" w:cs="Calibri" w:eastAsia="Calibri" w:hAnsi="Calibri"/>
                <w:color w:val="6B7280"/>
                <w:sz w:val="19"/>
                <w:szCs w:val="19"/>
              </w:rPr>
              <w:t xml:space="preserve">API integration; dedicated connectivity</w:t>
            </w:r>
          </w:p>
        </w:tc>
      </w:tr>
      <w:tr>
        <w:tc>
          <w:tcPr>
            <w:tcW w:type="dxa" w:w="1800"/>
            <w:tcBorders>
              <w:top w:val="single" w:color="D0D4DC" w:sz="4"/>
              <w:left w:val="single" w:color="D0D4DC" w:sz="4"/>
              <w:bottom w:val="single" w:color="D0D4DC" w:sz="4"/>
              <w:right w:val="single" w:color="D0D4DC" w:sz="4"/>
            </w:tcBorders>
            <w:shd w:fill="F8F9FB" w:val="clear"/>
            <w:tcMar>
              <w:top w:type="dxa" w:w="100"/>
              <w:left w:type="dxa" w:w="120"/>
              <w:bottom w:type="dxa" w:w="100"/>
              <w:right w:type="dxa" w:w="120"/>
            </w:tcMar>
            <w:vAlign w:val="top"/>
          </w:tcPr>
          <w:p>
            <w:pPr>
              <w:spacing w:after="60" w:before="60"/>
              <w:jc w:val="left"/>
            </w:pPr>
            <w:r>
              <w:rPr>
                <w:rFonts w:ascii="Calibri" w:cs="Calibri" w:eastAsia="Calibri" w:hAnsi="Calibri"/>
                <w:b/>
                <w:bCs/>
                <w:color w:val="0D1E3A"/>
                <w:sz w:val="19"/>
                <w:szCs w:val="19"/>
              </w:rPr>
              <w:t xml:space="preserve">Tokenised / RWA</w:t>
            </w:r>
          </w:p>
        </w:tc>
        <w:tc>
          <w:tcPr>
            <w:tcW w:type="dxa" w:w="3400"/>
            <w:tcBorders>
              <w:top w:val="single" w:color="D0D4DC" w:sz="4"/>
              <w:left w:val="single" w:color="D0D4DC" w:sz="4"/>
              <w:bottom w:val="single" w:color="D0D4DC" w:sz="4"/>
              <w:right w:val="single" w:color="D0D4DC" w:sz="4"/>
            </w:tcBorders>
            <w:shd w:fill="FFFFFF" w:val="clear"/>
            <w:tcMar>
              <w:top w:type="dxa" w:w="100"/>
              <w:left w:type="dxa" w:w="120"/>
              <w:bottom w:type="dxa" w:w="100"/>
              <w:right w:type="dxa" w:w="120"/>
            </w:tcMar>
            <w:vAlign w:val="top"/>
          </w:tcPr>
          <w:p>
            <w:pPr>
              <w:spacing w:after="60" w:before="60"/>
              <w:jc w:val="left"/>
            </w:pPr>
            <w:r>
              <w:rPr>
                <w:rFonts w:ascii="Calibri" w:cs="Calibri" w:eastAsia="Calibri" w:hAnsi="Calibri"/>
                <w:color w:val="000000"/>
                <w:sz w:val="19"/>
                <w:szCs w:val="19"/>
              </w:rPr>
              <w:t xml:space="preserve">Canton Network venues; tokenised asset trading platforms; RWA markets</w:t>
            </w:r>
          </w:p>
        </w:tc>
        <w:tc>
          <w:tcPr>
            <w:tcW w:type="dxa" w:w="4546"/>
            <w:tcBorders>
              <w:top w:val="single" w:color="D0D4DC" w:sz="4"/>
              <w:left w:val="single" w:color="D0D4DC" w:sz="4"/>
              <w:bottom w:val="single" w:color="D0D4DC" w:sz="4"/>
              <w:right w:val="single" w:color="D0D4DC" w:sz="4"/>
            </w:tcBorders>
            <w:shd w:fill="FFFFFF" w:val="clear"/>
            <w:tcMar>
              <w:top w:type="dxa" w:w="100"/>
              <w:left w:type="dxa" w:w="120"/>
              <w:bottom w:type="dxa" w:w="100"/>
              <w:right w:type="dxa" w:w="120"/>
            </w:tcMar>
            <w:vAlign w:val="top"/>
          </w:tcPr>
          <w:p>
            <w:pPr>
              <w:spacing w:after="60" w:before="60"/>
              <w:jc w:val="left"/>
            </w:pPr>
            <w:r>
              <w:rPr>
                <w:rFonts w:ascii="Calibri" w:cs="Calibri" w:eastAsia="Calibri" w:hAnsi="Calibri"/>
                <w:color w:val="6B7280"/>
                <w:sz w:val="19"/>
                <w:szCs w:val="19"/>
              </w:rPr>
              <w:t xml:space="preserve">Canton Network via IntellectEU; DAML shared-ledger integration</w:t>
            </w:r>
          </w:p>
        </w:tc>
      </w:tr>
    </w:tbl>
    <w:p>
      <w:pPr>
        <w:spacing w:after="150" w:before="150"/>
      </w:pPr>
    </w:p>
    <w:p>
      <w:pPr>
        <w:pStyle w:val="Heading2"/>
        <w:spacing w:after="80" w:before="220"/>
      </w:pPr>
      <w:r>
        <w:rPr>
          <w:rFonts w:ascii="Calibri" w:cs="Calibri" w:eastAsia="Calibri" w:hAnsi="Calibri"/>
          <w:b/>
          <w:bCs/>
          <w:color w:val="1B4F8A"/>
          <w:sz w:val="24"/>
          <w:szCs w:val="24"/>
        </w:rPr>
        <w:t xml:space="preserve">7.2 Declared Supervisory Universe (DSU)</w:t>
      </w:r>
    </w:p>
    <w:p>
      <w:pPr>
        <w:spacing w:after="60" w:before="60"/>
        <w:jc w:val="left"/>
      </w:pPr>
      <w:r>
        <w:rPr>
          <w:rFonts w:ascii="Calibri" w:cs="Calibri" w:eastAsia="Calibri" w:hAnsi="Calibri"/>
          <w:color w:val="000000"/>
          <w:sz w:val="20"/>
          <w:szCs w:val="20"/>
        </w:rPr>
        <w:t xml:space="preserve">The DSU defines the set of venues that are within scope for a given regulatory or operational context. Coverage statistics are always DSU-relative. Venues outside the DSU are excluded from coverage calculations — they do not appear as missing or degraded within a given view.</w:t>
      </w:r>
    </w:p>
    <w:p>
      <w:pPr>
        <w:spacing w:after="50" w:before="5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6946"/>
      </w:tblGrid>
      <w:tr>
        <w:tc>
          <w:tcPr>
            <w:tcW w:type="dxa" w:w="2800"/>
            <w:tcBorders>
              <w:top w:val="single" w:color="D0D4DC" w:sz="4"/>
              <w:left w:val="single" w:color="D0D4DC" w:sz="4"/>
              <w:bottom w:val="single" w:color="D0D4DC" w:sz="4"/>
              <w:right w:val="single" w:color="D0D4DC" w:sz="4"/>
            </w:tcBorders>
            <w:shd w:fill="EEF2F8" w:val="clear"/>
            <w:tcMar>
              <w:top w:type="dxa" w:w="100"/>
              <w:left w:type="dxa" w:w="120"/>
              <w:bottom w:type="dxa" w:w="100"/>
              <w:right w:type="dxa" w:w="120"/>
            </w:tcMar>
            <w:vAlign w:val="top"/>
          </w:tcPr>
          <w:p>
            <w:pPr>
              <w:spacing w:after="60" w:before="60"/>
              <w:jc w:val="left"/>
            </w:pPr>
            <w:r>
              <w:rPr>
                <w:rFonts w:ascii="Calibri" w:cs="Calibri" w:eastAsia="Calibri" w:hAnsi="Calibri"/>
                <w:b/>
                <w:bCs/>
                <w:color w:val="0D1E3A"/>
                <w:sz w:val="19"/>
                <w:szCs w:val="19"/>
              </w:rPr>
              <w:t xml:space="preserve">DSU v0.1 (ADGM Pilot)</w:t>
            </w:r>
          </w:p>
        </w:tc>
        <w:tc>
          <w:tcPr>
            <w:tcW w:type="dxa" w:w="6946"/>
            <w:tcBorders>
              <w:top w:val="single" w:color="D0D4DC" w:sz="4"/>
              <w:left w:val="single" w:color="D0D4DC" w:sz="4"/>
              <w:bottom w:val="single" w:color="D0D4DC" w:sz="4"/>
              <w:right w:val="single" w:color="D0D4DC" w:sz="4"/>
            </w:tcBorders>
            <w:shd w:fill="F2F4F7" w:val="clear"/>
            <w:tcMar>
              <w:top w:type="dxa" w:w="100"/>
              <w:left w:type="dxa" w:w="120"/>
              <w:bottom w:type="dxa" w:w="100"/>
              <w:right w:type="dxa" w:w="120"/>
            </w:tcMar>
            <w:vAlign w:val="top"/>
          </w:tcPr>
          <w:p>
            <w:pPr>
              <w:spacing w:after="60" w:before="60"/>
              <w:jc w:val="left"/>
            </w:pPr>
            <w:r>
              <w:rPr>
                <w:rFonts w:ascii="Calibri" w:cs="Calibri" w:eastAsia="Calibri" w:hAnsi="Calibri"/>
                <w:color w:val="1A1A2E"/>
                <w:sz w:val="19"/>
                <w:szCs w:val="19"/>
              </w:rPr>
              <w:t xml:space="preserve">{ Binance, Coinbase, Kraken } — BTC/USD and ETH/USD only</w:t>
            </w:r>
          </w:p>
        </w:tc>
      </w:tr>
      <w:tr>
        <w:tc>
          <w:tcPr>
            <w:tcW w:type="dxa" w:w="2800"/>
            <w:tcBorders>
              <w:top w:val="single" w:color="D0D4DC" w:sz="4"/>
              <w:left w:val="single" w:color="D0D4DC" w:sz="4"/>
              <w:bottom w:val="single" w:color="D0D4DC" w:sz="4"/>
              <w:right w:val="single" w:color="D0D4DC" w:sz="4"/>
            </w:tcBorders>
            <w:shd w:fill="F8F9FB" w:val="clear"/>
            <w:tcMar>
              <w:top w:type="dxa" w:w="100"/>
              <w:left w:type="dxa" w:w="120"/>
              <w:bottom w:type="dxa" w:w="100"/>
              <w:right w:type="dxa" w:w="120"/>
            </w:tcMar>
            <w:vAlign w:val="top"/>
          </w:tcPr>
          <w:p>
            <w:pPr>
              <w:spacing w:after="60" w:before="60"/>
              <w:jc w:val="left"/>
            </w:pPr>
            <w:r>
              <w:rPr>
                <w:rFonts w:ascii="Calibri" w:cs="Calibri" w:eastAsia="Calibri" w:hAnsi="Calibri"/>
                <w:b/>
                <w:bCs/>
                <w:color w:val="0D1E3A"/>
                <w:sz w:val="19"/>
                <w:szCs w:val="19"/>
              </w:rPr>
              <w:t xml:space="preserve">Coverage Semantics</w:t>
            </w:r>
          </w:p>
        </w:tc>
        <w:tc>
          <w:tcPr>
            <w:tcW w:type="dxa" w:w="6946"/>
            <w:tcBorders>
              <w:top w:val="single" w:color="D0D4DC" w:sz="4"/>
              <w:left w:val="single" w:color="D0D4DC" w:sz="4"/>
              <w:bottom w:val="single" w:color="D0D4DC" w:sz="4"/>
              <w:right w:val="single" w:color="D0D4DC" w:sz="4"/>
            </w:tcBorders>
            <w:shd w:fill="FFFFFF" w:val="clear"/>
            <w:tcMar>
              <w:top w:type="dxa" w:w="100"/>
              <w:left w:type="dxa" w:w="120"/>
              <w:bottom w:type="dxa" w:w="100"/>
              <w:right w:type="dxa" w:w="120"/>
            </w:tcMar>
            <w:vAlign w:val="top"/>
          </w:tcPr>
          <w:p>
            <w:pPr>
              <w:spacing w:after="60" w:before="60"/>
              <w:jc w:val="left"/>
            </w:pPr>
            <w:r>
              <w:rPr>
                <w:rFonts w:ascii="Calibri" w:cs="Calibri" w:eastAsia="Calibri" w:hAnsi="Calibri"/>
                <w:color w:val="1A1A2E"/>
                <w:sz w:val="19"/>
                <w:szCs w:val="19"/>
              </w:rPr>
              <w:t xml:space="preserve">Known = |DSU|; Covered = actively ingesting within freshness threshold; % = Covered / Known</w:t>
            </w:r>
          </w:p>
        </w:tc>
      </w:tr>
      <w:tr>
        <w:tc>
          <w:tcPr>
            <w:tcW w:type="dxa" w:w="2800"/>
            <w:tcBorders>
              <w:top w:val="single" w:color="D0D4DC" w:sz="4"/>
              <w:left w:val="single" w:color="D0D4DC" w:sz="4"/>
              <w:bottom w:val="single" w:color="D0D4DC" w:sz="4"/>
              <w:right w:val="single" w:color="D0D4DC" w:sz="4"/>
            </w:tcBorders>
            <w:shd w:fill="EEF2F8" w:val="clear"/>
            <w:tcMar>
              <w:top w:type="dxa" w:w="100"/>
              <w:left w:type="dxa" w:w="120"/>
              <w:bottom w:type="dxa" w:w="100"/>
              <w:right w:type="dxa" w:w="120"/>
            </w:tcMar>
            <w:vAlign w:val="top"/>
          </w:tcPr>
          <w:p>
            <w:pPr>
              <w:spacing w:after="60" w:before="60"/>
              <w:jc w:val="left"/>
            </w:pPr>
            <w:r>
              <w:rPr>
                <w:rFonts w:ascii="Calibri" w:cs="Calibri" w:eastAsia="Calibri" w:hAnsi="Calibri"/>
                <w:b/>
                <w:bCs/>
                <w:color w:val="0D1E3A"/>
                <w:sz w:val="19"/>
                <w:szCs w:val="19"/>
              </w:rPr>
              <w:t xml:space="preserve">DSU Expansion</w:t>
            </w:r>
          </w:p>
        </w:tc>
        <w:tc>
          <w:tcPr>
            <w:tcW w:type="dxa" w:w="6946"/>
            <w:tcBorders>
              <w:top w:val="single" w:color="D0D4DC" w:sz="4"/>
              <w:left w:val="single" w:color="D0D4DC" w:sz="4"/>
              <w:bottom w:val="single" w:color="D0D4DC" w:sz="4"/>
              <w:right w:val="single" w:color="D0D4DC" w:sz="4"/>
            </w:tcBorders>
            <w:shd w:fill="F2F4F7" w:val="clear"/>
            <w:tcMar>
              <w:top w:type="dxa" w:w="100"/>
              <w:left w:type="dxa" w:w="120"/>
              <w:bottom w:type="dxa" w:w="100"/>
              <w:right w:type="dxa" w:w="120"/>
            </w:tcMar>
            <w:vAlign w:val="top"/>
          </w:tcPr>
          <w:p>
            <w:pPr>
              <w:spacing w:after="60" w:before="60"/>
              <w:jc w:val="left"/>
            </w:pPr>
            <w:r>
              <w:rPr>
                <w:rFonts w:ascii="Calibri" w:cs="Calibri" w:eastAsia="Calibri" w:hAnsi="Calibri"/>
                <w:color w:val="1A1A2E"/>
                <w:sz w:val="19"/>
                <w:szCs w:val="19"/>
              </w:rPr>
              <w:t xml:space="preserve">Venue addition is a governance event requiring formal declaration, version increment, and disclosure. Retroactive effect: none.</w:t>
            </w:r>
          </w:p>
        </w:tc>
      </w:tr>
      <w:tr>
        <w:tc>
          <w:tcPr>
            <w:tcW w:type="dxa" w:w="2800"/>
            <w:tcBorders>
              <w:top w:val="single" w:color="D0D4DC" w:sz="4"/>
              <w:left w:val="single" w:color="D0D4DC" w:sz="4"/>
              <w:bottom w:val="single" w:color="D0D4DC" w:sz="4"/>
              <w:right w:val="single" w:color="D0D4DC" w:sz="4"/>
            </w:tcBorders>
            <w:shd w:fill="F8F9FB" w:val="clear"/>
            <w:tcMar>
              <w:top w:type="dxa" w:w="100"/>
              <w:left w:type="dxa" w:w="120"/>
              <w:bottom w:type="dxa" w:w="100"/>
              <w:right w:type="dxa" w:w="120"/>
            </w:tcMar>
            <w:vAlign w:val="top"/>
          </w:tcPr>
          <w:p>
            <w:pPr>
              <w:spacing w:after="60" w:before="60"/>
              <w:jc w:val="left"/>
            </w:pPr>
            <w:r>
              <w:rPr>
                <w:rFonts w:ascii="Calibri" w:cs="Calibri" w:eastAsia="Calibri" w:hAnsi="Calibri"/>
                <w:b/>
                <w:bCs/>
                <w:color w:val="0D1E3A"/>
                <w:sz w:val="19"/>
                <w:szCs w:val="19"/>
              </w:rPr>
              <w:t xml:space="preserve">DSU Isolation</w:t>
            </w:r>
          </w:p>
        </w:tc>
        <w:tc>
          <w:tcPr>
            <w:tcW w:type="dxa" w:w="6946"/>
            <w:tcBorders>
              <w:top w:val="single" w:color="D0D4DC" w:sz="4"/>
              <w:left w:val="single" w:color="D0D4DC" w:sz="4"/>
              <w:bottom w:val="single" w:color="D0D4DC" w:sz="4"/>
              <w:right w:val="single" w:color="D0D4DC" w:sz="4"/>
            </w:tcBorders>
            <w:shd w:fill="FFFFFF" w:val="clear"/>
            <w:tcMar>
              <w:top w:type="dxa" w:w="100"/>
              <w:left w:type="dxa" w:w="120"/>
              <w:bottom w:type="dxa" w:w="100"/>
              <w:right w:type="dxa" w:w="120"/>
            </w:tcMar>
            <w:vAlign w:val="top"/>
          </w:tcPr>
          <w:p>
            <w:pPr>
              <w:spacing w:after="60" w:before="60"/>
              <w:jc w:val="left"/>
            </w:pPr>
            <w:r>
              <w:rPr>
                <w:rFonts w:ascii="Calibri" w:cs="Calibri" w:eastAsia="Calibri" w:hAnsi="Calibri"/>
                <w:color w:val="1A1A2E"/>
                <w:sz w:val="19"/>
                <w:szCs w:val="19"/>
              </w:rPr>
              <w:t xml:space="preserve">Multiple DSU views (e.g., ADGM view / FCA view) operate independently. Underlying DACT data is identical; presentation scope differs.</w:t>
            </w:r>
          </w:p>
        </w:tc>
      </w:tr>
    </w:tbl>
    <w:p>
      <w:pPr>
        <w:spacing w:after="100" w:before="1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00"/>
        <w:gridCol w:w="8346"/>
      </w:tblGrid>
      <w:tr>
        <w:tc>
          <w:tcPr>
            <w:tcW w:type="dxa" w:w="1400"/>
            <w:tcBorders>
              <w:top w:val="none" w:color="FFFFFF" w:sz="0"/>
              <w:left w:val="none" w:color="FFFFFF" w:sz="0"/>
              <w:bottom w:val="none" w:color="FFFFFF" w:sz="0"/>
              <w:right w:val="none" w:color="FFFFFF" w:sz="0"/>
            </w:tcBorders>
            <w:shd w:fill="0D1E3A" w:val="clear"/>
            <w:tcMar>
              <w:top w:type="dxa" w:w="100"/>
              <w:left w:type="dxa" w:w="120"/>
              <w:bottom w:type="dxa" w:w="100"/>
              <w:right w:type="dxa" w:w="120"/>
            </w:tcMar>
            <w:vAlign w:val="top"/>
          </w:tcPr>
          <w:p>
            <w:pPr>
              <w:spacing w:after="60" w:before="60"/>
              <w:jc w:val="left"/>
            </w:pPr>
            <w:r>
              <w:rPr>
                <w:rFonts w:ascii="Calibri" w:cs="Calibri" w:eastAsia="Calibri" w:hAnsi="Calibri"/>
                <w:b/>
                <w:bCs/>
                <w:color w:val="FFFFFF"/>
                <w:sz w:val="18"/>
                <w:szCs w:val="18"/>
              </w:rPr>
              <w:t xml:space="preserve">NORMATIVE: DSU BOUNDARY</w:t>
            </w:r>
          </w:p>
        </w:tc>
        <w:tc>
          <w:tcPr>
            <w:tcW w:type="dxa" w:w="8346"/>
            <w:tcBorders>
              <w:top w:val="none" w:color="FFFFFF" w:sz="0"/>
              <w:left w:val="none" w:color="FFFFFF" w:sz="0"/>
              <w:bottom w:val="none" w:color="FFFFFF" w:sz="0"/>
              <w:right w:val="none" w:color="FFFFFF" w:sz="0"/>
            </w:tcBorders>
            <w:shd w:fill="E8EEF5" w:val="clear"/>
            <w:tcMar>
              <w:top w:type="dxa" w:w="100"/>
              <w:left w:type="dxa" w:w="120"/>
              <w:bottom w:type="dxa" w:w="100"/>
              <w:right w:type="dxa" w:w="120"/>
            </w:tcMar>
            <w:vAlign w:val="top"/>
          </w:tcPr>
          <w:p>
            <w:pPr>
              <w:spacing w:after="60" w:before="60"/>
              <w:jc w:val="left"/>
            </w:pPr>
            <w:r>
              <w:rPr>
                <w:rFonts w:ascii="Calibri" w:cs="Calibri" w:eastAsia="Calibri" w:hAnsi="Calibri"/>
                <w:color w:val="1A1A2E"/>
                <w:sz w:val="19"/>
                <w:szCs w:val="19"/>
              </w:rPr>
              <w:t xml:space="preserve">Within any regulatory interface or coverage report, ONLY the declared supervisory universe exists. Venues outside the DSU SHALL NOT be represented as missing, degraded, or non-reporting. Coverage percentage SHALL be DSU-relative only.</w:t>
            </w:r>
          </w:p>
        </w:tc>
      </w:tr>
    </w:tbl>
    <w:p>
      <w:pPr>
        <w:spacing w:after="200" w:before="200"/>
      </w:pPr>
    </w:p>
    <w:p>
      <w:pPr>
        <w:pStyle w:val="Heading1"/>
        <w:pBdr>
          <w:bottom w:val="single" w:color="1B4F8A" w:sz="8" w:space="2"/>
        </w:pBdr>
        <w:spacing w:after="120" w:before="280"/>
      </w:pPr>
      <w:r>
        <w:rPr>
          <w:rFonts w:ascii="Calibri" w:cs="Calibri" w:eastAsia="Calibri" w:hAnsi="Calibri"/>
          <w:b/>
          <w:bCs/>
          <w:color w:val="0D1E3A"/>
          <w:sz w:val="28"/>
          <w:szCs w:val="28"/>
        </w:rPr>
        <w:t xml:space="preserve">8. Non-Contamination Rule (Normative)</w:t>
      </w:r>
    </w:p>
    <w:p>
      <w:pPr>
        <w:spacing w:after="60" w:before="80"/>
        <w:jc w:val="left"/>
      </w:pPr>
      <w:r>
        <w:rPr>
          <w:rFonts w:ascii="Calibri" w:cs="Calibri" w:eastAsia="Calibri" w:hAnsi="Calibri"/>
          <w:color w:val="000000"/>
          <w:sz w:val="20"/>
          <w:szCs w:val="20"/>
        </w:rPr>
        <w:t xml:space="preserve">The Non-Contamination Rule is the most critical architectural constraint governing DACT. It defines what DACT is not permitted to do — and these prohibitions are as important as its permitted functions.</w:t>
      </w:r>
    </w:p>
    <w:p>
      <w:pPr>
        <w:spacing w:after="100" w:before="1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00"/>
        <w:gridCol w:w="8346"/>
      </w:tblGrid>
      <w:tr>
        <w:tc>
          <w:tcPr>
            <w:tcW w:type="dxa" w:w="1400"/>
            <w:tcBorders>
              <w:top w:val="none" w:color="FFFFFF" w:sz="0"/>
              <w:left w:val="none" w:color="FFFFFF" w:sz="0"/>
              <w:bottom w:val="none" w:color="FFFFFF" w:sz="0"/>
              <w:right w:val="none" w:color="FFFFFF" w:sz="0"/>
            </w:tcBorders>
            <w:shd w:fill="C0392B" w:val="clear"/>
            <w:tcMar>
              <w:top w:type="dxa" w:w="100"/>
              <w:left w:type="dxa" w:w="120"/>
              <w:bottom w:type="dxa" w:w="100"/>
              <w:right w:type="dxa" w:w="120"/>
            </w:tcMar>
            <w:vAlign w:val="top"/>
          </w:tcPr>
          <w:p>
            <w:pPr>
              <w:spacing w:after="60" w:before="60"/>
              <w:jc w:val="left"/>
            </w:pPr>
            <w:r>
              <w:rPr>
                <w:rFonts w:ascii="Calibri" w:cs="Calibri" w:eastAsia="Calibri" w:hAnsi="Calibri"/>
                <w:b/>
                <w:bCs/>
                <w:color w:val="FFFFFF"/>
                <w:sz w:val="18"/>
                <w:szCs w:val="18"/>
              </w:rPr>
              <w:t xml:space="preserve">PROHIBITED — CONFORMANCE FAILURE</w:t>
            </w:r>
          </w:p>
        </w:tc>
        <w:tc>
          <w:tcPr>
            <w:tcW w:type="dxa" w:w="8346"/>
            <w:tcBorders>
              <w:top w:val="none" w:color="FFFFFF" w:sz="0"/>
              <w:left w:val="none" w:color="FFFFFF" w:sz="0"/>
              <w:bottom w:val="none" w:color="FFFFFF" w:sz="0"/>
              <w:right w:val="none" w:color="FFFFFF" w:sz="0"/>
            </w:tcBorders>
            <w:shd w:fill="FFF3F3" w:val="clear"/>
            <w:tcMar>
              <w:top w:type="dxa" w:w="100"/>
              <w:left w:type="dxa" w:w="120"/>
              <w:bottom w:type="dxa" w:w="100"/>
              <w:right w:type="dxa" w:w="120"/>
            </w:tcMar>
            <w:vAlign w:val="top"/>
          </w:tcPr>
          <w:p>
            <w:pPr>
              <w:spacing w:after="60" w:before="60"/>
              <w:jc w:val="left"/>
            </w:pPr>
            <w:r>
              <w:rPr>
                <w:rFonts w:ascii="Calibri" w:cs="Calibri" w:eastAsia="Calibri" w:hAnsi="Calibri"/>
                <w:color w:val="2C0A0A"/>
                <w:sz w:val="19"/>
                <w:szCs w:val="19"/>
              </w:rPr>
              <w:t xml:space="preserve">Conformant DACT implementations SHALL NOT:</w:t>
            </w:r>
          </w:p>
          <w:p>
            <w:pPr>
              <w:spacing w:after="60" w:before="60"/>
              <w:jc w:val="left"/>
            </w:pPr>
            <w:r>
              <w:rPr>
                <w:rFonts w:ascii="Calibri" w:cs="Calibri" w:eastAsia="Calibri" w:hAnsi="Calibri"/>
                <w:color w:val="2C0A0A"/>
                <w:sz w:val="19"/>
                <w:szCs w:val="19"/>
              </w:rPr>
              <w:t xml:space="preserve"/>
            </w:r>
          </w:p>
          <w:p>
            <w:pPr>
              <w:spacing w:after="60" w:before="60"/>
              <w:jc w:val="left"/>
            </w:pPr>
            <w:r>
              <w:rPr>
                <w:rFonts w:ascii="Calibri" w:cs="Calibri" w:eastAsia="Calibri" w:hAnsi="Calibri"/>
                <w:color w:val="2C0A0A"/>
                <w:sz w:val="19"/>
                <w:szCs w:val="19"/>
              </w:rPr>
              <w:t xml:space="preserve">SCORE EVENTS — DACT does not produce scores, ratings, or quality assessments of any kind.</w:t>
            </w:r>
          </w:p>
          <w:p>
            <w:pPr>
              <w:spacing w:after="60" w:before="60"/>
              <w:jc w:val="left"/>
            </w:pPr>
            <w:r>
              <w:rPr>
                <w:rFonts w:ascii="Calibri" w:cs="Calibri" w:eastAsia="Calibri" w:hAnsi="Calibri"/>
                <w:color w:val="2C0A0A"/>
                <w:sz w:val="19"/>
                <w:szCs w:val="19"/>
              </w:rPr>
              <w:t xml:space="preserve">WEIGHT VENUES — DACT treats all venues identically at ingestion. No preferential handling.</w:t>
            </w:r>
          </w:p>
          <w:p>
            <w:pPr>
              <w:spacing w:after="60" w:before="60"/>
              <w:jc w:val="left"/>
            </w:pPr>
            <w:r>
              <w:rPr>
                <w:rFonts w:ascii="Calibri" w:cs="Calibri" w:eastAsia="Calibri" w:hAnsi="Calibri"/>
                <w:color w:val="2C0A0A"/>
                <w:sz w:val="19"/>
                <w:szCs w:val="19"/>
              </w:rPr>
              <w:t xml:space="preserve">AGGREGATE RISK — DACT does not compute risk metrics, VaR, or liquidity scores.</w:t>
            </w:r>
          </w:p>
          <w:p>
            <w:pPr>
              <w:spacing w:after="60" w:before="60"/>
              <w:jc w:val="left"/>
            </w:pPr>
            <w:r>
              <w:rPr>
                <w:rFonts w:ascii="Calibri" w:cs="Calibri" w:eastAsia="Calibri" w:hAnsi="Calibri"/>
                <w:color w:val="2C0A0A"/>
                <w:sz w:val="19"/>
                <w:szCs w:val="19"/>
              </w:rPr>
              <w:t xml:space="preserve">APPLY THRESHOLDS — DACT does not filter, suppress, or enhance events based on threshold criteria.</w:t>
            </w:r>
          </w:p>
          <w:p>
            <w:pPr>
              <w:spacing w:after="60" w:before="60"/>
              <w:jc w:val="left"/>
            </w:pPr>
            <w:r>
              <w:rPr>
                <w:rFonts w:ascii="Calibri" w:cs="Calibri" w:eastAsia="Calibri" w:hAnsi="Calibri"/>
                <w:color w:val="2C0A0A"/>
                <w:sz w:val="19"/>
                <w:szCs w:val="19"/>
              </w:rPr>
              <w:t xml:space="preserve">TRIGGER ALERTS — DACT does not generate operational alerts or policy-based notifications.</w:t>
            </w:r>
          </w:p>
          <w:p>
            <w:pPr>
              <w:spacing w:after="60" w:before="60"/>
              <w:jc w:val="left"/>
            </w:pPr>
            <w:r>
              <w:rPr>
                <w:rFonts w:ascii="Calibri" w:cs="Calibri" w:eastAsia="Calibri" w:hAnsi="Calibri"/>
                <w:color w:val="2C0A0A"/>
                <w:sz w:val="19"/>
                <w:szCs w:val="19"/>
              </w:rPr>
              <w:t xml:space="preserve">MODIFY PAYLOADS — Payload content is immutable from ingestion. Interpretation is a downstream function.</w:t>
            </w:r>
          </w:p>
          <w:p>
            <w:pPr>
              <w:spacing w:after="60" w:before="60"/>
              <w:jc w:val="left"/>
            </w:pPr>
            <w:r>
              <w:rPr>
                <w:rFonts w:ascii="Calibri" w:cs="Calibri" w:eastAsia="Calibri" w:hAnsi="Calibri"/>
                <w:color w:val="2C0A0A"/>
                <w:sz w:val="19"/>
                <w:szCs w:val="19"/>
              </w:rPr>
              <w:t xml:space="preserve">INFER MISSING DATA — Absent evidence is recorded as absent. DACT does not fill gaps.</w:t>
            </w:r>
          </w:p>
          <w:p>
            <w:pPr>
              <w:spacing w:after="60" w:before="60"/>
              <w:jc w:val="left"/>
            </w:pPr>
            <w:r>
              <w:rPr>
                <w:rFonts w:ascii="Calibri" w:cs="Calibri" w:eastAsia="Calibri" w:hAnsi="Calibri"/>
                <w:color w:val="2C0A0A"/>
                <w:sz w:val="19"/>
                <w:szCs w:val="19"/>
              </w:rPr>
              <w:t xml:space="preserve"/>
            </w:r>
          </w:p>
          <w:p>
            <w:pPr>
              <w:spacing w:after="60" w:before="60"/>
              <w:jc w:val="left"/>
            </w:pPr>
            <w:r>
              <w:rPr>
                <w:rFonts w:ascii="Calibri" w:cs="Calibri" w:eastAsia="Calibri" w:hAnsi="Calibri"/>
                <w:color w:val="2C0A0A"/>
                <w:sz w:val="19"/>
                <w:szCs w:val="19"/>
              </w:rPr>
              <w:t xml:space="preserve">Any implementation exhibiting these behaviours SHALL NOT claim DACT-STD-1.0 conformance.</w:t>
            </w:r>
          </w:p>
        </w:tc>
      </w:tr>
    </w:tbl>
    <w:p>
      <w:pPr>
        <w:spacing w:after="150" w:before="15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00"/>
        <w:gridCol w:w="8346"/>
      </w:tblGrid>
      <w:tr>
        <w:tc>
          <w:tcPr>
            <w:tcW w:type="dxa" w:w="1400"/>
            <w:tcBorders>
              <w:top w:val="none" w:color="FFFFFF" w:sz="0"/>
              <w:left w:val="none" w:color="FFFFFF" w:sz="0"/>
              <w:bottom w:val="none" w:color="FFFFFF" w:sz="0"/>
              <w:right w:val="none" w:color="FFFFFF" w:sz="0"/>
            </w:tcBorders>
            <w:shd w:fill="0D1E3A" w:val="clear"/>
            <w:tcMar>
              <w:top w:type="dxa" w:w="100"/>
              <w:left w:type="dxa" w:w="120"/>
              <w:bottom w:type="dxa" w:w="100"/>
              <w:right w:type="dxa" w:w="120"/>
            </w:tcMar>
            <w:vAlign w:val="top"/>
          </w:tcPr>
          <w:p>
            <w:pPr>
              <w:spacing w:after="60" w:before="60"/>
              <w:jc w:val="left"/>
            </w:pPr>
            <w:r>
              <w:rPr>
                <w:rFonts w:ascii="Calibri" w:cs="Calibri" w:eastAsia="Calibri" w:hAnsi="Calibri"/>
                <w:b/>
                <w:bCs/>
                <w:color w:val="FFFFFF"/>
                <w:sz w:val="18"/>
                <w:szCs w:val="18"/>
              </w:rPr>
              <w:t xml:space="preserve">PERMITTED FUNCTIONS (NORMATIVE)</w:t>
            </w:r>
          </w:p>
        </w:tc>
        <w:tc>
          <w:tcPr>
            <w:tcW w:type="dxa" w:w="8346"/>
            <w:tcBorders>
              <w:top w:val="none" w:color="FFFFFF" w:sz="0"/>
              <w:left w:val="none" w:color="FFFFFF" w:sz="0"/>
              <w:bottom w:val="none" w:color="FFFFFF" w:sz="0"/>
              <w:right w:val="none" w:color="FFFFFF" w:sz="0"/>
            </w:tcBorders>
            <w:shd w:fill="E8EEF5" w:val="clear"/>
            <w:tcMar>
              <w:top w:type="dxa" w:w="100"/>
              <w:left w:type="dxa" w:w="120"/>
              <w:bottom w:type="dxa" w:w="100"/>
              <w:right w:type="dxa" w:w="120"/>
            </w:tcMar>
            <w:vAlign w:val="top"/>
          </w:tcPr>
          <w:p>
            <w:pPr>
              <w:spacing w:after="60" w:before="60"/>
              <w:jc w:val="left"/>
            </w:pPr>
            <w:r>
              <w:rPr>
                <w:rFonts w:ascii="Calibri" w:cs="Calibri" w:eastAsia="Calibri" w:hAnsi="Calibri"/>
                <w:color w:val="1A1A2E"/>
                <w:sz w:val="19"/>
                <w:szCs w:val="19"/>
              </w:rPr>
              <w:t xml:space="preserve">DACT implementations MAY: ingest events from declared venues; validate schema conformance; resolve symbols to canonical UUIDs; compute derived fields (spread, mid-price) from raw bid/ask; normalise timestamps to UTC; flag stale events; record provenance and attribution; maintain the append-only tape; support deterministic replay.</w:t>
            </w:r>
          </w:p>
        </w:tc>
      </w:tr>
    </w:tbl>
    <w:p>
      <w:pPr>
        <w:spacing w:after="150" w:before="150"/>
      </w:pPr>
    </w:p>
    <w:p>
      <w:pPr>
        <w:spacing w:after="60" w:before="60"/>
        <w:jc w:val="left"/>
      </w:pPr>
      <w:r>
        <w:rPr>
          <w:rFonts w:ascii="Calibri" w:cs="Calibri" w:eastAsia="Calibri" w:hAnsi="Calibri"/>
          <w:i/>
          <w:iCs/>
          <w:color w:val="6B7280"/>
          <w:sz w:val="20"/>
          <w:szCs w:val="20"/>
        </w:rPr>
        <w:t xml:space="preserve">DACT’s value as a trust layer derives precisely from what it does not do. Downstream layers (STRATA® AI, PoLi™) derive their epistemic authority from the fact that DACT is an uncontaminated record. Any scoring or interpretation at the tape level would undermine the entire trust architecture.</w:t>
      </w:r>
    </w:p>
    <w:p>
      <w:pPr>
        <w:spacing w:after="200" w:before="200"/>
      </w:pPr>
    </w:p>
    <w:p>
      <w:pPr>
        <w:pStyle w:val="Heading1"/>
        <w:pBdr>
          <w:bottom w:val="single" w:color="1B4F8A" w:sz="8" w:space="2"/>
        </w:pBdr>
        <w:spacing w:after="120" w:before="280"/>
      </w:pPr>
      <w:r>
        <w:rPr>
          <w:rFonts w:ascii="Calibri" w:cs="Calibri" w:eastAsia="Calibri" w:hAnsi="Calibri"/>
          <w:b/>
          <w:bCs/>
          <w:color w:val="0D1E3A"/>
          <w:sz w:val="28"/>
          <w:szCs w:val="28"/>
        </w:rPr>
        <w:t xml:space="preserve">9. Output Contract &amp; Determinism (Normative)</w:t>
      </w:r>
    </w:p>
    <w:p>
      <w:pPr>
        <w:spacing w:after="60" w:before="80"/>
        <w:jc w:val="left"/>
      </w:pPr>
      <w:r>
        <w:rPr>
          <w:rFonts w:ascii="Calibri" w:cs="Calibri" w:eastAsia="Calibri" w:hAnsi="Calibri"/>
          <w:color w:val="000000"/>
          <w:sz w:val="20"/>
          <w:szCs w:val="20"/>
        </w:rPr>
        <w:t xml:space="preserve">DACT’s output is the append-only LiquidityTapeEvent stream. All downstream layers consume this stream as their authoritative source of market truth. The contract governing this output must be unambiguous.</w:t>
      </w:r>
    </w:p>
    <w:p>
      <w:pPr>
        <w:spacing w:after="100" w:before="100"/>
      </w:pPr>
    </w:p>
    <w:p>
      <w:pPr>
        <w:pStyle w:val="Heading2"/>
        <w:spacing w:after="80" w:before="220"/>
      </w:pPr>
      <w:r>
        <w:rPr>
          <w:rFonts w:ascii="Calibri" w:cs="Calibri" w:eastAsia="Calibri" w:hAnsi="Calibri"/>
          <w:b/>
          <w:bCs/>
          <w:color w:val="1B4F8A"/>
          <w:sz w:val="24"/>
          <w:szCs w:val="24"/>
        </w:rPr>
        <w:t xml:space="preserve">9.1 Determinism Requirements</w:t>
      </w:r>
    </w:p>
    <w:p>
      <w:pPr>
        <w:spacing w:after="50" w:before="5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6946"/>
      </w:tblGrid>
      <w:tr>
        <w:tc>
          <w:tcPr>
            <w:tcW w:type="dxa" w:w="2800"/>
            <w:tcBorders>
              <w:top w:val="single" w:color="D0D4DC" w:sz="4"/>
              <w:left w:val="single" w:color="D0D4DC" w:sz="4"/>
              <w:bottom w:val="single" w:color="D0D4DC" w:sz="4"/>
              <w:right w:val="single" w:color="D0D4DC" w:sz="4"/>
            </w:tcBorders>
            <w:shd w:fill="EEF2F8" w:val="clear"/>
            <w:tcMar>
              <w:top w:type="dxa" w:w="100"/>
              <w:left w:type="dxa" w:w="120"/>
              <w:bottom w:type="dxa" w:w="100"/>
              <w:right w:type="dxa" w:w="120"/>
            </w:tcMar>
            <w:vAlign w:val="top"/>
          </w:tcPr>
          <w:p>
            <w:pPr>
              <w:spacing w:after="60" w:before="60"/>
              <w:jc w:val="left"/>
            </w:pPr>
            <w:r>
              <w:rPr>
                <w:rFonts w:ascii="Calibri" w:cs="Calibri" w:eastAsia="Calibri" w:hAnsi="Calibri"/>
                <w:b/>
                <w:bCs/>
                <w:color w:val="0D1E3A"/>
                <w:sz w:val="19"/>
                <w:szCs w:val="19"/>
              </w:rPr>
              <w:t xml:space="preserve">Append-Only Guarantee</w:t>
            </w:r>
          </w:p>
        </w:tc>
        <w:tc>
          <w:tcPr>
            <w:tcW w:type="dxa" w:w="6946"/>
            <w:tcBorders>
              <w:top w:val="single" w:color="D0D4DC" w:sz="4"/>
              <w:left w:val="single" w:color="D0D4DC" w:sz="4"/>
              <w:bottom w:val="single" w:color="D0D4DC" w:sz="4"/>
              <w:right w:val="single" w:color="D0D4DC" w:sz="4"/>
            </w:tcBorders>
            <w:shd w:fill="F2F4F7" w:val="clear"/>
            <w:tcMar>
              <w:top w:type="dxa" w:w="100"/>
              <w:left w:type="dxa" w:w="120"/>
              <w:bottom w:type="dxa" w:w="100"/>
              <w:right w:type="dxa" w:w="120"/>
            </w:tcMar>
            <w:vAlign w:val="top"/>
          </w:tcPr>
          <w:p>
            <w:pPr>
              <w:spacing w:after="60" w:before="60"/>
              <w:jc w:val="left"/>
            </w:pPr>
            <w:r>
              <w:rPr>
                <w:rFonts w:ascii="Calibri" w:cs="Calibri" w:eastAsia="Calibri" w:hAnsi="Calibri"/>
                <w:color w:val="1A1A2E"/>
                <w:sz w:val="19"/>
                <w:szCs w:val="19"/>
              </w:rPr>
              <w:t xml:space="preserve">The tape is append-only. No event may be deleted or modified after recording. Version corrections are new events with explicit correction flags.</w:t>
            </w:r>
          </w:p>
        </w:tc>
      </w:tr>
      <w:tr>
        <w:tc>
          <w:tcPr>
            <w:tcW w:type="dxa" w:w="2800"/>
            <w:tcBorders>
              <w:top w:val="single" w:color="D0D4DC" w:sz="4"/>
              <w:left w:val="single" w:color="D0D4DC" w:sz="4"/>
              <w:bottom w:val="single" w:color="D0D4DC" w:sz="4"/>
              <w:right w:val="single" w:color="D0D4DC" w:sz="4"/>
            </w:tcBorders>
            <w:shd w:fill="F8F9FB" w:val="clear"/>
            <w:tcMar>
              <w:top w:type="dxa" w:w="100"/>
              <w:left w:type="dxa" w:w="120"/>
              <w:bottom w:type="dxa" w:w="100"/>
              <w:right w:type="dxa" w:w="120"/>
            </w:tcMar>
            <w:vAlign w:val="top"/>
          </w:tcPr>
          <w:p>
            <w:pPr>
              <w:spacing w:after="60" w:before="60"/>
              <w:jc w:val="left"/>
            </w:pPr>
            <w:r>
              <w:rPr>
                <w:rFonts w:ascii="Calibri" w:cs="Calibri" w:eastAsia="Calibri" w:hAnsi="Calibri"/>
                <w:b/>
                <w:bCs/>
                <w:color w:val="0D1E3A"/>
                <w:sz w:val="19"/>
                <w:szCs w:val="19"/>
              </w:rPr>
              <w:t xml:space="preserve">Replay Consistency</w:t>
            </w:r>
          </w:p>
        </w:tc>
        <w:tc>
          <w:tcPr>
            <w:tcW w:type="dxa" w:w="6946"/>
            <w:tcBorders>
              <w:top w:val="single" w:color="D0D4DC" w:sz="4"/>
              <w:left w:val="single" w:color="D0D4DC" w:sz="4"/>
              <w:bottom w:val="single" w:color="D0D4DC" w:sz="4"/>
              <w:right w:val="single" w:color="D0D4DC" w:sz="4"/>
            </w:tcBorders>
            <w:shd w:fill="FFFFFF" w:val="clear"/>
            <w:tcMar>
              <w:top w:type="dxa" w:w="100"/>
              <w:left w:type="dxa" w:w="120"/>
              <w:bottom w:type="dxa" w:w="100"/>
              <w:right w:type="dxa" w:w="120"/>
            </w:tcMar>
            <w:vAlign w:val="top"/>
          </w:tcPr>
          <w:p>
            <w:pPr>
              <w:spacing w:after="60" w:before="60"/>
              <w:jc w:val="left"/>
            </w:pPr>
            <w:r>
              <w:rPr>
                <w:rFonts w:ascii="Calibri" w:cs="Calibri" w:eastAsia="Calibri" w:hAnsi="Calibri"/>
                <w:color w:val="1A1A2E"/>
                <w:sz w:val="19"/>
                <w:szCs w:val="19"/>
              </w:rPr>
              <w:t xml:space="preserve">Given any time range, DACT MUST reproduce the identical sequence of events on replay. Replay is the foundation of downstream auditability.</w:t>
            </w:r>
          </w:p>
        </w:tc>
      </w:tr>
      <w:tr>
        <w:tc>
          <w:tcPr>
            <w:tcW w:type="dxa" w:w="2800"/>
            <w:tcBorders>
              <w:top w:val="single" w:color="D0D4DC" w:sz="4"/>
              <w:left w:val="single" w:color="D0D4DC" w:sz="4"/>
              <w:bottom w:val="single" w:color="D0D4DC" w:sz="4"/>
              <w:right w:val="single" w:color="D0D4DC" w:sz="4"/>
            </w:tcBorders>
            <w:shd w:fill="EEF2F8" w:val="clear"/>
            <w:tcMar>
              <w:top w:type="dxa" w:w="100"/>
              <w:left w:type="dxa" w:w="120"/>
              <w:bottom w:type="dxa" w:w="100"/>
              <w:right w:type="dxa" w:w="120"/>
            </w:tcMar>
            <w:vAlign w:val="top"/>
          </w:tcPr>
          <w:p>
            <w:pPr>
              <w:spacing w:after="60" w:before="60"/>
              <w:jc w:val="left"/>
            </w:pPr>
            <w:r>
              <w:rPr>
                <w:rFonts w:ascii="Calibri" w:cs="Calibri" w:eastAsia="Calibri" w:hAnsi="Calibri"/>
                <w:b/>
                <w:bCs/>
                <w:color w:val="0D1E3A"/>
                <w:sz w:val="19"/>
                <w:szCs w:val="19"/>
              </w:rPr>
              <w:t xml:space="preserve">Event Ordering</w:t>
            </w:r>
          </w:p>
        </w:tc>
        <w:tc>
          <w:tcPr>
            <w:tcW w:type="dxa" w:w="6946"/>
            <w:tcBorders>
              <w:top w:val="single" w:color="D0D4DC" w:sz="4"/>
              <w:left w:val="single" w:color="D0D4DC" w:sz="4"/>
              <w:bottom w:val="single" w:color="D0D4DC" w:sz="4"/>
              <w:right w:val="single" w:color="D0D4DC" w:sz="4"/>
            </w:tcBorders>
            <w:shd w:fill="F2F4F7" w:val="clear"/>
            <w:tcMar>
              <w:top w:type="dxa" w:w="100"/>
              <w:left w:type="dxa" w:w="120"/>
              <w:bottom w:type="dxa" w:w="100"/>
              <w:right w:type="dxa" w:w="120"/>
            </w:tcMar>
            <w:vAlign w:val="top"/>
          </w:tcPr>
          <w:p>
            <w:pPr>
              <w:spacing w:after="60" w:before="60"/>
              <w:jc w:val="left"/>
            </w:pPr>
            <w:r>
              <w:rPr>
                <w:rFonts w:ascii="Calibri" w:cs="Calibri" w:eastAsia="Calibri" w:hAnsi="Calibri"/>
                <w:color w:val="1A1A2E"/>
                <w:sz w:val="19"/>
                <w:szCs w:val="19"/>
              </w:rPr>
              <w:t xml:space="preserve">Events within the tape are ordered by captured_at (DACT ingestion timestamp). Ordering is deterministic given the ingestion timestamp.</w:t>
            </w:r>
          </w:p>
        </w:tc>
      </w:tr>
      <w:tr>
        <w:tc>
          <w:tcPr>
            <w:tcW w:type="dxa" w:w="2800"/>
            <w:tcBorders>
              <w:top w:val="single" w:color="D0D4DC" w:sz="4"/>
              <w:left w:val="single" w:color="D0D4DC" w:sz="4"/>
              <w:bottom w:val="single" w:color="D0D4DC" w:sz="4"/>
              <w:right w:val="single" w:color="D0D4DC" w:sz="4"/>
            </w:tcBorders>
            <w:shd w:fill="F8F9FB" w:val="clear"/>
            <w:tcMar>
              <w:top w:type="dxa" w:w="100"/>
              <w:left w:type="dxa" w:w="120"/>
              <w:bottom w:type="dxa" w:w="100"/>
              <w:right w:type="dxa" w:w="120"/>
            </w:tcMar>
            <w:vAlign w:val="top"/>
          </w:tcPr>
          <w:p>
            <w:pPr>
              <w:spacing w:after="60" w:before="60"/>
              <w:jc w:val="left"/>
            </w:pPr>
            <w:r>
              <w:rPr>
                <w:rFonts w:ascii="Calibri" w:cs="Calibri" w:eastAsia="Calibri" w:hAnsi="Calibri"/>
                <w:b/>
                <w:bCs/>
                <w:color w:val="0D1E3A"/>
                <w:sz w:val="19"/>
                <w:szCs w:val="19"/>
              </w:rPr>
              <w:t xml:space="preserve">Version Binding</w:t>
            </w:r>
          </w:p>
        </w:tc>
        <w:tc>
          <w:tcPr>
            <w:tcW w:type="dxa" w:w="6946"/>
            <w:tcBorders>
              <w:top w:val="single" w:color="D0D4DC" w:sz="4"/>
              <w:left w:val="single" w:color="D0D4DC" w:sz="4"/>
              <w:bottom w:val="single" w:color="D0D4DC" w:sz="4"/>
              <w:right w:val="single" w:color="D0D4DC" w:sz="4"/>
            </w:tcBorders>
            <w:shd w:fill="FFFFFF" w:val="clear"/>
            <w:tcMar>
              <w:top w:type="dxa" w:w="100"/>
              <w:left w:type="dxa" w:w="120"/>
              <w:bottom w:type="dxa" w:w="100"/>
              <w:right w:type="dxa" w:w="120"/>
            </w:tcMar>
            <w:vAlign w:val="top"/>
          </w:tcPr>
          <w:p>
            <w:pPr>
              <w:spacing w:after="60" w:before="60"/>
              <w:jc w:val="left"/>
            </w:pPr>
            <w:r>
              <w:rPr>
                <w:rFonts w:ascii="Calibri" w:cs="Calibri" w:eastAsia="Calibri" w:hAnsi="Calibri"/>
                <w:color w:val="1A1A2E"/>
                <w:sz w:val="19"/>
                <w:szCs w:val="19"/>
              </w:rPr>
              <w:t xml:space="preserve">All events reference the DACT version active at ingestion. Historical events remain bound to the version under which they were recorded.</w:t>
            </w:r>
          </w:p>
        </w:tc>
      </w:tr>
    </w:tbl>
    <w:p>
      <w:pPr>
        <w:spacing w:after="100" w:before="100"/>
      </w:pPr>
    </w:p>
    <w:p>
      <w:pPr>
        <w:pStyle w:val="Heading2"/>
        <w:spacing w:after="80" w:before="220"/>
      </w:pPr>
      <w:r>
        <w:rPr>
          <w:rFonts w:ascii="Calibri" w:cs="Calibri" w:eastAsia="Calibri" w:hAnsi="Calibri"/>
          <w:b/>
          <w:bCs/>
          <w:color w:val="1B4F8A"/>
          <w:sz w:val="24"/>
          <w:szCs w:val="24"/>
        </w:rPr>
        <w:t xml:space="preserve">9.2 Retention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00"/>
        <w:gridCol w:w="8346"/>
      </w:tblGrid>
      <w:tr>
        <w:tc>
          <w:tcPr>
            <w:tcW w:type="dxa" w:w="1400"/>
            <w:tcBorders>
              <w:top w:val="none" w:color="FFFFFF" w:sz="0"/>
              <w:left w:val="none" w:color="FFFFFF" w:sz="0"/>
              <w:bottom w:val="none" w:color="FFFFFF" w:sz="0"/>
              <w:right w:val="none" w:color="FFFFFF" w:sz="0"/>
            </w:tcBorders>
            <w:shd w:fill="0D1E3A" w:val="clear"/>
            <w:tcMar>
              <w:top w:type="dxa" w:w="100"/>
              <w:left w:type="dxa" w:w="120"/>
              <w:bottom w:type="dxa" w:w="100"/>
              <w:right w:type="dxa" w:w="120"/>
            </w:tcMar>
            <w:vAlign w:val="top"/>
          </w:tcPr>
          <w:p>
            <w:pPr>
              <w:spacing w:after="60" w:before="60"/>
              <w:jc w:val="left"/>
            </w:pPr>
            <w:r>
              <w:rPr>
                <w:rFonts w:ascii="Calibri" w:cs="Calibri" w:eastAsia="Calibri" w:hAnsi="Calibri"/>
                <w:b/>
                <w:bCs/>
                <w:color w:val="FFFFFF"/>
                <w:sz w:val="18"/>
                <w:szCs w:val="18"/>
              </w:rPr>
              <w:t xml:space="preserve">NORMATIVE: MINIMUM RETENTION</w:t>
            </w:r>
          </w:p>
        </w:tc>
        <w:tc>
          <w:tcPr>
            <w:tcW w:type="dxa" w:w="8346"/>
            <w:tcBorders>
              <w:top w:val="none" w:color="FFFFFF" w:sz="0"/>
              <w:left w:val="none" w:color="FFFFFF" w:sz="0"/>
              <w:bottom w:val="none" w:color="FFFFFF" w:sz="0"/>
              <w:right w:val="none" w:color="FFFFFF" w:sz="0"/>
            </w:tcBorders>
            <w:shd w:fill="E8EEF5" w:val="clear"/>
            <w:tcMar>
              <w:top w:type="dxa" w:w="100"/>
              <w:left w:type="dxa" w:w="120"/>
              <w:bottom w:type="dxa" w:w="100"/>
              <w:right w:type="dxa" w:w="120"/>
            </w:tcMar>
            <w:vAlign w:val="top"/>
          </w:tcPr>
          <w:p>
            <w:pPr>
              <w:spacing w:after="60" w:before="60"/>
              <w:jc w:val="left"/>
            </w:pPr>
            <w:r>
              <w:rPr>
                <w:rFonts w:ascii="Calibri" w:cs="Calibri" w:eastAsia="Calibri" w:hAnsi="Calibri"/>
                <w:color w:val="1A1A2E"/>
                <w:sz w:val="19"/>
                <w:szCs w:val="19"/>
              </w:rPr>
              <w:t xml:space="preserve">DACT event records SHALL be retained for minimum periods as follows. Actual retention MAY exceed these minimums.</w:t>
            </w:r>
          </w:p>
          <w:p>
            <w:pPr>
              <w:spacing w:after="60" w:before="60"/>
              <w:jc w:val="left"/>
            </w:pPr>
            <w:r>
              <w:rPr>
                <w:rFonts w:ascii="Calibri" w:cs="Calibri" w:eastAsia="Calibri" w:hAnsi="Calibri"/>
                <w:color w:val="1A1A2E"/>
                <w:sz w:val="19"/>
                <w:szCs w:val="19"/>
              </w:rPr>
              <w:t xml:space="preserve"/>
            </w:r>
          </w:p>
          <w:p>
            <w:pPr>
              <w:spacing w:after="60" w:before="60"/>
              <w:jc w:val="left"/>
            </w:pPr>
            <w:r>
              <w:rPr>
                <w:rFonts w:ascii="Calibri" w:cs="Calibri" w:eastAsia="Calibri" w:hAnsi="Calibri"/>
                <w:color w:val="1A1A2E"/>
                <w:sz w:val="19"/>
                <w:szCs w:val="19"/>
              </w:rPr>
              <w:t xml:space="preserve">Hot Tier (0–30 days): Live access; full payload; real-time query supported.</w:t>
            </w:r>
          </w:p>
          <w:p>
            <w:pPr>
              <w:spacing w:after="60" w:before="60"/>
              <w:jc w:val="left"/>
            </w:pPr>
            <w:r>
              <w:rPr>
                <w:rFonts w:ascii="Calibri" w:cs="Calibri" w:eastAsia="Calibri" w:hAnsi="Calibri"/>
                <w:color w:val="1A1A2E"/>
                <w:sz w:val="19"/>
                <w:szCs w:val="19"/>
              </w:rPr>
              <w:t xml:space="preserve">Warm Tier (30–365 days): Near-real-time access; compressed storage; full payload retained.</w:t>
            </w:r>
          </w:p>
          <w:p>
            <w:pPr>
              <w:spacing w:after="60" w:before="60"/>
              <w:jc w:val="left"/>
            </w:pPr>
            <w:r>
              <w:rPr>
                <w:rFonts w:ascii="Calibri" w:cs="Calibri" w:eastAsia="Calibri" w:hAnsi="Calibri"/>
                <w:color w:val="1A1A2E"/>
                <w:sz w:val="19"/>
                <w:szCs w:val="19"/>
              </w:rPr>
              <w:t xml:space="preserve">Cold Tier (1–7+ years): Immutable archive; batch access; hash-anchored to Merkle commitments.</w:t>
            </w:r>
          </w:p>
          <w:p>
            <w:pPr>
              <w:spacing w:after="60" w:before="60"/>
              <w:jc w:val="left"/>
            </w:pPr>
            <w:r>
              <w:rPr>
                <w:rFonts w:ascii="Calibri" w:cs="Calibri" w:eastAsia="Calibri" w:hAnsi="Calibri"/>
                <w:color w:val="1A1A2E"/>
                <w:sz w:val="19"/>
                <w:szCs w:val="19"/>
              </w:rPr>
              <w:t xml:space="preserve">Jurisdictional Minimum: 7 years for ADGM, FCA, and MiFID II regulatory contexts.</w:t>
            </w:r>
          </w:p>
        </w:tc>
      </w:tr>
    </w:tbl>
    <w:p>
      <w:pPr>
        <w:spacing w:after="100" w:before="100"/>
      </w:pPr>
    </w:p>
    <w:p>
      <w:pPr>
        <w:pStyle w:val="Heading2"/>
        <w:spacing w:after="80" w:before="220"/>
      </w:pPr>
      <w:r>
        <w:rPr>
          <w:rFonts w:ascii="Calibri" w:cs="Calibri" w:eastAsia="Calibri" w:hAnsi="Calibri"/>
          <w:b/>
          <w:bCs/>
          <w:color w:val="1B4F8A"/>
          <w:sz w:val="24"/>
          <w:szCs w:val="24"/>
        </w:rPr>
        <w:t xml:space="preserve">9.3 Provenance &amp; Non-Repudiation</w:t>
      </w:r>
    </w:p>
    <w:p>
      <w:pPr>
        <w:spacing w:after="60" w:before="60"/>
        <w:jc w:val="left"/>
      </w:pPr>
      <w:r>
        <w:rPr>
          <w:rFonts w:ascii="Calibri" w:cs="Calibri" w:eastAsia="Calibri" w:hAnsi="Calibri"/>
          <w:color w:val="000000"/>
          <w:sz w:val="20"/>
          <w:szCs w:val="20"/>
        </w:rPr>
        <w:t xml:space="preserve">All DACT events carry a complete provenance block (sourceVenue, transport, engine, dactVersion, latencyMs). Access to DACT tape events MUST be logged with: requesting identity, credential type, time range accessed, timestamp of access, and purpose declaration. Access logs MUST be retained for the maximum applicable period.</w:t>
      </w:r>
    </w:p>
    <w:p>
      <w:pPr>
        <w:spacing w:after="200" w:before="200"/>
      </w:pPr>
    </w:p>
    <w:p>
      <w:pPr>
        <w:pStyle w:val="Heading1"/>
        <w:pBdr>
          <w:bottom w:val="single" w:color="1B4F8A" w:sz="8" w:space="2"/>
        </w:pBdr>
        <w:spacing w:after="120" w:before="280"/>
      </w:pPr>
      <w:r>
        <w:rPr>
          <w:rFonts w:ascii="Calibri" w:cs="Calibri" w:eastAsia="Calibri" w:hAnsi="Calibri"/>
          <w:b/>
          <w:bCs/>
          <w:color w:val="0D1E3A"/>
          <w:sz w:val="28"/>
          <w:szCs w:val="28"/>
        </w:rPr>
        <w:t xml:space="preserve">10. Relationship to Downstream Layers (Informative)</w:t>
      </w:r>
    </w:p>
    <w:p>
      <w:pPr>
        <w:spacing w:after="60" w:before="80"/>
        <w:jc w:val="left"/>
      </w:pPr>
      <w:r>
        <w:rPr>
          <w:rFonts w:ascii="Calibri" w:cs="Calibri" w:eastAsia="Calibri" w:hAnsi="Calibri"/>
          <w:color w:val="000000"/>
          <w:sz w:val="20"/>
          <w:szCs w:val="20"/>
        </w:rPr>
        <w:t xml:space="preserve">DACT is the exclusive upstream source for all Stratalink intelligence and attestation layers. The dependency is strictly one-directional: downstream layers consume DACT; DACT never consumes downstream outputs.</w:t>
      </w:r>
    </w:p>
    <w:p>
      <w:pPr>
        <w:spacing w:after="100" w:before="1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6946"/>
      </w:tblGrid>
      <w:tr>
        <w:tc>
          <w:tcPr>
            <w:tcW w:type="dxa" w:w="2800"/>
            <w:tcBorders>
              <w:top w:val="single" w:color="D0D4DC" w:sz="4"/>
              <w:left w:val="single" w:color="D0D4DC" w:sz="4"/>
              <w:bottom w:val="single" w:color="D0D4DC" w:sz="4"/>
              <w:right w:val="single" w:color="D0D4DC" w:sz="4"/>
            </w:tcBorders>
            <w:shd w:fill="EEF2F8" w:val="clear"/>
            <w:tcMar>
              <w:top w:type="dxa" w:w="100"/>
              <w:left w:type="dxa" w:w="120"/>
              <w:bottom w:type="dxa" w:w="100"/>
              <w:right w:type="dxa" w:w="120"/>
            </w:tcMar>
            <w:vAlign w:val="top"/>
          </w:tcPr>
          <w:p>
            <w:pPr>
              <w:spacing w:after="60" w:before="60"/>
              <w:jc w:val="left"/>
            </w:pPr>
            <w:r>
              <w:rPr>
                <w:rFonts w:ascii="Calibri" w:cs="Calibri" w:eastAsia="Calibri" w:hAnsi="Calibri"/>
                <w:b/>
                <w:bCs/>
                <w:color w:val="0D1E3A"/>
                <w:sz w:val="19"/>
                <w:szCs w:val="19"/>
              </w:rPr>
              <w:t xml:space="preserve">DACT → STRATA® AI</w:t>
            </w:r>
          </w:p>
        </w:tc>
        <w:tc>
          <w:tcPr>
            <w:tcW w:type="dxa" w:w="6946"/>
            <w:tcBorders>
              <w:top w:val="single" w:color="D0D4DC" w:sz="4"/>
              <w:left w:val="single" w:color="D0D4DC" w:sz="4"/>
              <w:bottom w:val="single" w:color="D0D4DC" w:sz="4"/>
              <w:right w:val="single" w:color="D0D4DC" w:sz="4"/>
            </w:tcBorders>
            <w:shd w:fill="F2F4F7" w:val="clear"/>
            <w:tcMar>
              <w:top w:type="dxa" w:w="100"/>
              <w:left w:type="dxa" w:w="120"/>
              <w:bottom w:type="dxa" w:w="100"/>
              <w:right w:type="dxa" w:w="120"/>
            </w:tcMar>
            <w:vAlign w:val="top"/>
          </w:tcPr>
          <w:p>
            <w:pPr>
              <w:spacing w:after="60" w:before="60"/>
              <w:jc w:val="left"/>
            </w:pPr>
            <w:r>
              <w:rPr>
                <w:rFonts w:ascii="Calibri" w:cs="Calibri" w:eastAsia="Calibri" w:hAnsi="Calibri"/>
                <w:color w:val="1A1A2E"/>
                <w:sz w:val="19"/>
                <w:szCs w:val="19"/>
              </w:rPr>
              <w:t xml:space="preserve">STRATA® AI consumes LiquidityTapeEvents for feature extraction, pattern detection, and intelligence scoring. STRATA® AI enriches DACT data with analytical context but MUST NOT write back to DACT.</w:t>
            </w:r>
          </w:p>
        </w:tc>
      </w:tr>
      <w:tr>
        <w:tc>
          <w:tcPr>
            <w:tcW w:type="dxa" w:w="2800"/>
            <w:tcBorders>
              <w:top w:val="single" w:color="D0D4DC" w:sz="4"/>
              <w:left w:val="single" w:color="D0D4DC" w:sz="4"/>
              <w:bottom w:val="single" w:color="D0D4DC" w:sz="4"/>
              <w:right w:val="single" w:color="D0D4DC" w:sz="4"/>
            </w:tcBorders>
            <w:shd w:fill="F8F9FB" w:val="clear"/>
            <w:tcMar>
              <w:top w:type="dxa" w:w="100"/>
              <w:left w:type="dxa" w:w="120"/>
              <w:bottom w:type="dxa" w:w="100"/>
              <w:right w:type="dxa" w:w="120"/>
            </w:tcMar>
            <w:vAlign w:val="top"/>
          </w:tcPr>
          <w:p>
            <w:pPr>
              <w:spacing w:after="60" w:before="60"/>
              <w:jc w:val="left"/>
            </w:pPr>
            <w:r>
              <w:rPr>
                <w:rFonts w:ascii="Calibri" w:cs="Calibri" w:eastAsia="Calibri" w:hAnsi="Calibri"/>
                <w:b/>
                <w:bCs/>
                <w:color w:val="0D1E3A"/>
                <w:sz w:val="19"/>
                <w:szCs w:val="19"/>
              </w:rPr>
              <w:t xml:space="preserve">DACT → PoLi™</w:t>
            </w:r>
          </w:p>
        </w:tc>
        <w:tc>
          <w:tcPr>
            <w:tcW w:type="dxa" w:w="6946"/>
            <w:tcBorders>
              <w:top w:val="single" w:color="D0D4DC" w:sz="4"/>
              <w:left w:val="single" w:color="D0D4DC" w:sz="4"/>
              <w:bottom w:val="single" w:color="D0D4DC" w:sz="4"/>
              <w:right w:val="single" w:color="D0D4DC" w:sz="4"/>
            </w:tcBorders>
            <w:shd w:fill="FFFFFF" w:val="clear"/>
            <w:tcMar>
              <w:top w:type="dxa" w:w="100"/>
              <w:left w:type="dxa" w:w="120"/>
              <w:bottom w:type="dxa" w:w="100"/>
              <w:right w:type="dxa" w:w="120"/>
            </w:tcMar>
            <w:vAlign w:val="top"/>
          </w:tcPr>
          <w:p>
            <w:pPr>
              <w:spacing w:after="60" w:before="60"/>
              <w:jc w:val="left"/>
            </w:pPr>
            <w:r>
              <w:rPr>
                <w:rFonts w:ascii="Calibri" w:cs="Calibri" w:eastAsia="Calibri" w:hAnsi="Calibri"/>
                <w:color w:val="1A1A2E"/>
                <w:sz w:val="19"/>
                <w:szCs w:val="19"/>
              </w:rPr>
              <w:t xml:space="preserve">PoLi™ constructs windowed evidence sets from DACT events. The evidence ladder (L0–L4) is evaluated against DACT tape evidence. PoLi™ MUST NOT modify, substitute, or infer DACT events.</w:t>
            </w:r>
          </w:p>
        </w:tc>
      </w:tr>
      <w:tr>
        <w:tc>
          <w:tcPr>
            <w:tcW w:type="dxa" w:w="2800"/>
            <w:tcBorders>
              <w:top w:val="single" w:color="D0D4DC" w:sz="4"/>
              <w:left w:val="single" w:color="D0D4DC" w:sz="4"/>
              <w:bottom w:val="single" w:color="D0D4DC" w:sz="4"/>
              <w:right w:val="single" w:color="D0D4DC" w:sz="4"/>
            </w:tcBorders>
            <w:shd w:fill="EEF2F8" w:val="clear"/>
            <w:tcMar>
              <w:top w:type="dxa" w:w="100"/>
              <w:left w:type="dxa" w:w="120"/>
              <w:bottom w:type="dxa" w:w="100"/>
              <w:right w:type="dxa" w:w="120"/>
            </w:tcMar>
            <w:vAlign w:val="top"/>
          </w:tcPr>
          <w:p>
            <w:pPr>
              <w:spacing w:after="60" w:before="60"/>
              <w:jc w:val="left"/>
            </w:pPr>
            <w:r>
              <w:rPr>
                <w:rFonts w:ascii="Calibri" w:cs="Calibri" w:eastAsia="Calibri" w:hAnsi="Calibri"/>
                <w:b/>
                <w:bCs/>
                <w:color w:val="0D1E3A"/>
                <w:sz w:val="19"/>
                <w:szCs w:val="19"/>
              </w:rPr>
              <w:t xml:space="preserve">DACT → RCL</w:t>
            </w:r>
          </w:p>
        </w:tc>
        <w:tc>
          <w:tcPr>
            <w:tcW w:type="dxa" w:w="6946"/>
            <w:tcBorders>
              <w:top w:val="single" w:color="D0D4DC" w:sz="4"/>
              <w:left w:val="single" w:color="D0D4DC" w:sz="4"/>
              <w:bottom w:val="single" w:color="D0D4DC" w:sz="4"/>
              <w:right w:val="single" w:color="D0D4DC" w:sz="4"/>
            </w:tcBorders>
            <w:shd w:fill="F2F4F7" w:val="clear"/>
            <w:tcMar>
              <w:top w:type="dxa" w:w="100"/>
              <w:left w:type="dxa" w:w="120"/>
              <w:bottom w:type="dxa" w:w="100"/>
              <w:right w:type="dxa" w:w="120"/>
            </w:tcMar>
            <w:vAlign w:val="top"/>
          </w:tcPr>
          <w:p>
            <w:pPr>
              <w:spacing w:after="60" w:before="60"/>
              <w:jc w:val="left"/>
            </w:pPr>
            <w:r>
              <w:rPr>
                <w:rFonts w:ascii="Calibri" w:cs="Calibri" w:eastAsia="Calibri" w:hAnsi="Calibri"/>
                <w:color w:val="1A1A2E"/>
                <w:sz w:val="19"/>
                <w:szCs w:val="19"/>
              </w:rPr>
              <w:t xml:space="preserve">The Regulatory Consumption Layer renders DACT-normalised facts for supervisory access. RCL is read-only. RCL’s authoritative records are the DACT tape and PoLi™ snapshots, not the RCL interface itself.</w:t>
            </w:r>
          </w:p>
        </w:tc>
      </w:tr>
    </w:tbl>
    <w:p>
      <w:pPr>
        <w:spacing w:after="100" w:before="100"/>
      </w:pPr>
    </w:p>
    <w:p>
      <w:pPr>
        <w:spacing w:after="60" w:before="60"/>
        <w:jc w:val="left"/>
      </w:pPr>
      <w:r>
        <w:rPr>
          <w:rFonts w:ascii="Calibri" w:cs="Calibri" w:eastAsia="Calibri" w:hAnsi="Calibri"/>
          <w:i/>
          <w:iCs/>
          <w:color w:val="6B7280"/>
          <w:sz w:val="20"/>
          <w:szCs w:val="20"/>
        </w:rPr>
        <w:t xml:space="preserve">DACT records what happened. STRATA® AI evaluates what it means. PoLi™ attests whether trading was possible. The three must never be conflated.</w:t>
      </w:r>
    </w:p>
    <w:p>
      <w:pPr>
        <w:spacing w:after="200" w:before="200"/>
      </w:pPr>
    </w:p>
    <w:p>
      <w:pPr>
        <w:pStyle w:val="Heading1"/>
        <w:pBdr>
          <w:bottom w:val="single" w:color="1B4F8A" w:sz="8" w:space="2"/>
        </w:pBdr>
        <w:spacing w:after="120" w:before="280"/>
      </w:pPr>
      <w:r>
        <w:rPr>
          <w:rFonts w:ascii="Calibri" w:cs="Calibri" w:eastAsia="Calibri" w:hAnsi="Calibri"/>
          <w:b/>
          <w:bCs/>
          <w:color w:val="0D1E3A"/>
          <w:sz w:val="28"/>
          <w:szCs w:val="28"/>
        </w:rPr>
        <w:t xml:space="preserve">11. Regulatory Relevance (Informative)</w:t>
      </w:r>
    </w:p>
    <w:p>
      <w:pPr>
        <w:spacing w:after="60" w:before="80"/>
        <w:jc w:val="left"/>
      </w:pPr>
      <w:r>
        <w:rPr>
          <w:rFonts w:ascii="Calibri" w:cs="Calibri" w:eastAsia="Calibri" w:hAnsi="Calibri"/>
          <w:color w:val="000000"/>
          <w:sz w:val="20"/>
          <w:szCs w:val="20"/>
        </w:rPr>
        <w:t xml:space="preserve">DACT provides the factual foundation for regulatory supervision of digital asset liquidity. The following mappings are informative guidance and do not introduce additional conformance obligations.</w:t>
      </w:r>
    </w:p>
    <w:p>
      <w:pPr>
        <w:spacing w:after="100" w:before="100"/>
      </w:pPr>
    </w:p>
    <w:p>
      <w:pPr>
        <w:pStyle w:val="Heading2"/>
        <w:spacing w:after="80" w:before="220"/>
      </w:pPr>
      <w:r>
        <w:rPr>
          <w:rFonts w:ascii="Calibri" w:cs="Calibri" w:eastAsia="Calibri" w:hAnsi="Calibri"/>
          <w:b/>
          <w:bCs/>
          <w:color w:val="1B4F8A"/>
          <w:sz w:val="24"/>
          <w:szCs w:val="24"/>
        </w:rPr>
        <w:t xml:space="preserve">11.1 FCA — Market Integrity &amp; Audit</w:t>
      </w:r>
    </w:p>
    <w:p>
      <w:pPr>
        <w:spacing w:after="50" w:before="5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6946"/>
      </w:tblGrid>
      <w:tr>
        <w:tc>
          <w:tcPr>
            <w:tcW w:type="dxa" w:w="2800"/>
            <w:tcBorders>
              <w:top w:val="single" w:color="D0D4DC" w:sz="4"/>
              <w:left w:val="single" w:color="D0D4DC" w:sz="4"/>
              <w:bottom w:val="single" w:color="D0D4DC" w:sz="4"/>
              <w:right w:val="single" w:color="D0D4DC" w:sz="4"/>
            </w:tcBorders>
            <w:shd w:fill="EEF2F8" w:val="clear"/>
            <w:tcMar>
              <w:top w:type="dxa" w:w="100"/>
              <w:left w:type="dxa" w:w="120"/>
              <w:bottom w:type="dxa" w:w="100"/>
              <w:right w:type="dxa" w:w="120"/>
            </w:tcMar>
            <w:vAlign w:val="top"/>
          </w:tcPr>
          <w:p>
            <w:pPr>
              <w:spacing w:after="60" w:before="60"/>
              <w:jc w:val="left"/>
            </w:pPr>
            <w:r>
              <w:rPr>
                <w:rFonts w:ascii="Calibri" w:cs="Calibri" w:eastAsia="Calibri" w:hAnsi="Calibri"/>
                <w:b/>
                <w:bCs/>
                <w:color w:val="0D1E3A"/>
                <w:sz w:val="19"/>
                <w:szCs w:val="19"/>
              </w:rPr>
              <w:t xml:space="preserve">Orderly trading conditions</w:t>
            </w:r>
          </w:p>
        </w:tc>
        <w:tc>
          <w:tcPr>
            <w:tcW w:type="dxa" w:w="6946"/>
            <w:tcBorders>
              <w:top w:val="single" w:color="D0D4DC" w:sz="4"/>
              <w:left w:val="single" w:color="D0D4DC" w:sz="4"/>
              <w:bottom w:val="single" w:color="D0D4DC" w:sz="4"/>
              <w:right w:val="single" w:color="D0D4DC" w:sz="4"/>
            </w:tcBorders>
            <w:shd w:fill="F2F4F7" w:val="clear"/>
            <w:tcMar>
              <w:top w:type="dxa" w:w="100"/>
              <w:left w:type="dxa" w:w="120"/>
              <w:bottom w:type="dxa" w:w="100"/>
              <w:right w:type="dxa" w:w="120"/>
            </w:tcMar>
            <w:vAlign w:val="top"/>
          </w:tcPr>
          <w:p>
            <w:pPr>
              <w:spacing w:after="60" w:before="60"/>
              <w:jc w:val="left"/>
            </w:pPr>
            <w:r>
              <w:rPr>
                <w:rFonts w:ascii="Calibri" w:cs="Calibri" w:eastAsia="Calibri" w:hAnsi="Calibri"/>
                <w:color w:val="1A1A2E"/>
                <w:sz w:val="19"/>
                <w:szCs w:val="19"/>
              </w:rPr>
              <w:t xml:space="preserve">DACT provides the continuous, multi-venue depth and spread record from which orderly trading assessments are derived</w:t>
            </w:r>
          </w:p>
        </w:tc>
      </w:tr>
      <w:tr>
        <w:tc>
          <w:tcPr>
            <w:tcW w:type="dxa" w:w="2800"/>
            <w:tcBorders>
              <w:top w:val="single" w:color="D0D4DC" w:sz="4"/>
              <w:left w:val="single" w:color="D0D4DC" w:sz="4"/>
              <w:bottom w:val="single" w:color="D0D4DC" w:sz="4"/>
              <w:right w:val="single" w:color="D0D4DC" w:sz="4"/>
            </w:tcBorders>
            <w:shd w:fill="F8F9FB" w:val="clear"/>
            <w:tcMar>
              <w:top w:type="dxa" w:w="100"/>
              <w:left w:type="dxa" w:w="120"/>
              <w:bottom w:type="dxa" w:w="100"/>
              <w:right w:type="dxa" w:w="120"/>
            </w:tcMar>
            <w:vAlign w:val="top"/>
          </w:tcPr>
          <w:p>
            <w:pPr>
              <w:spacing w:after="60" w:before="60"/>
              <w:jc w:val="left"/>
            </w:pPr>
            <w:r>
              <w:rPr>
                <w:rFonts w:ascii="Calibri" w:cs="Calibri" w:eastAsia="Calibri" w:hAnsi="Calibri"/>
                <w:b/>
                <w:bCs/>
                <w:color w:val="0D1E3A"/>
                <w:sz w:val="19"/>
                <w:szCs w:val="19"/>
              </w:rPr>
              <w:t xml:space="preserve">Best execution evidence</w:t>
            </w:r>
          </w:p>
        </w:tc>
        <w:tc>
          <w:tcPr>
            <w:tcW w:type="dxa" w:w="6946"/>
            <w:tcBorders>
              <w:top w:val="single" w:color="D0D4DC" w:sz="4"/>
              <w:left w:val="single" w:color="D0D4DC" w:sz="4"/>
              <w:bottom w:val="single" w:color="D0D4DC" w:sz="4"/>
              <w:right w:val="single" w:color="D0D4DC" w:sz="4"/>
            </w:tcBorders>
            <w:shd w:fill="FFFFFF" w:val="clear"/>
            <w:tcMar>
              <w:top w:type="dxa" w:w="100"/>
              <w:left w:type="dxa" w:w="120"/>
              <w:bottom w:type="dxa" w:w="100"/>
              <w:right w:type="dxa" w:w="120"/>
            </w:tcMar>
            <w:vAlign w:val="top"/>
          </w:tcPr>
          <w:p>
            <w:pPr>
              <w:spacing w:after="60" w:before="60"/>
              <w:jc w:val="left"/>
            </w:pPr>
            <w:r>
              <w:rPr>
                <w:rFonts w:ascii="Calibri" w:cs="Calibri" w:eastAsia="Calibri" w:hAnsi="Calibri"/>
                <w:color w:val="1A1A2E"/>
                <w:sz w:val="19"/>
                <w:szCs w:val="19"/>
              </w:rPr>
              <w:t xml:space="preserve">Immutable TRADE events provide the factual basis for best execution reporting and post-trade analysis</w:t>
            </w:r>
          </w:p>
        </w:tc>
      </w:tr>
      <w:tr>
        <w:tc>
          <w:tcPr>
            <w:tcW w:type="dxa" w:w="2800"/>
            <w:tcBorders>
              <w:top w:val="single" w:color="D0D4DC" w:sz="4"/>
              <w:left w:val="single" w:color="D0D4DC" w:sz="4"/>
              <w:bottom w:val="single" w:color="D0D4DC" w:sz="4"/>
              <w:right w:val="single" w:color="D0D4DC" w:sz="4"/>
            </w:tcBorders>
            <w:shd w:fill="EEF2F8" w:val="clear"/>
            <w:tcMar>
              <w:top w:type="dxa" w:w="100"/>
              <w:left w:type="dxa" w:w="120"/>
              <w:bottom w:type="dxa" w:w="100"/>
              <w:right w:type="dxa" w:w="120"/>
            </w:tcMar>
            <w:vAlign w:val="top"/>
          </w:tcPr>
          <w:p>
            <w:pPr>
              <w:spacing w:after="60" w:before="60"/>
              <w:jc w:val="left"/>
            </w:pPr>
            <w:r>
              <w:rPr>
                <w:rFonts w:ascii="Calibri" w:cs="Calibri" w:eastAsia="Calibri" w:hAnsi="Calibri"/>
                <w:b/>
                <w:bCs/>
                <w:color w:val="0D1E3A"/>
                <w:sz w:val="19"/>
                <w:szCs w:val="19"/>
              </w:rPr>
              <w:t xml:space="preserve">Market manipulation review</w:t>
            </w:r>
          </w:p>
        </w:tc>
        <w:tc>
          <w:tcPr>
            <w:tcW w:type="dxa" w:w="6946"/>
            <w:tcBorders>
              <w:top w:val="single" w:color="D0D4DC" w:sz="4"/>
              <w:left w:val="single" w:color="D0D4DC" w:sz="4"/>
              <w:bottom w:val="single" w:color="D0D4DC" w:sz="4"/>
              <w:right w:val="single" w:color="D0D4DC" w:sz="4"/>
            </w:tcBorders>
            <w:shd w:fill="F2F4F7" w:val="clear"/>
            <w:tcMar>
              <w:top w:type="dxa" w:w="100"/>
              <w:left w:type="dxa" w:w="120"/>
              <w:bottom w:type="dxa" w:w="100"/>
              <w:right w:type="dxa" w:w="120"/>
            </w:tcMar>
            <w:vAlign w:val="top"/>
          </w:tcPr>
          <w:p>
            <w:pPr>
              <w:spacing w:after="60" w:before="60"/>
              <w:jc w:val="left"/>
            </w:pPr>
            <w:r>
              <w:rPr>
                <w:rFonts w:ascii="Calibri" w:cs="Calibri" w:eastAsia="Calibri" w:hAnsi="Calibri"/>
                <w:color w:val="1A1A2E"/>
                <w:sz w:val="19"/>
                <w:szCs w:val="19"/>
              </w:rPr>
              <w:t xml:space="preserve">DACT’s append-only event record enables forensic replay of market events for manipulation investigations</w:t>
            </w:r>
          </w:p>
        </w:tc>
      </w:tr>
      <w:tr>
        <w:tc>
          <w:tcPr>
            <w:tcW w:type="dxa" w:w="2800"/>
            <w:tcBorders>
              <w:top w:val="single" w:color="D0D4DC" w:sz="4"/>
              <w:left w:val="single" w:color="D0D4DC" w:sz="4"/>
              <w:bottom w:val="single" w:color="D0D4DC" w:sz="4"/>
              <w:right w:val="single" w:color="D0D4DC" w:sz="4"/>
            </w:tcBorders>
            <w:shd w:fill="F8F9FB" w:val="clear"/>
            <w:tcMar>
              <w:top w:type="dxa" w:w="100"/>
              <w:left w:type="dxa" w:w="120"/>
              <w:bottom w:type="dxa" w:w="100"/>
              <w:right w:type="dxa" w:w="120"/>
            </w:tcMar>
            <w:vAlign w:val="top"/>
          </w:tcPr>
          <w:p>
            <w:pPr>
              <w:spacing w:after="60" w:before="60"/>
              <w:jc w:val="left"/>
            </w:pPr>
            <w:r>
              <w:rPr>
                <w:rFonts w:ascii="Calibri" w:cs="Calibri" w:eastAsia="Calibri" w:hAnsi="Calibri"/>
                <w:b/>
                <w:bCs/>
                <w:color w:val="0D1E3A"/>
                <w:sz w:val="19"/>
                <w:szCs w:val="19"/>
              </w:rPr>
              <w:t xml:space="preserve">Regulatory audit trail</w:t>
            </w:r>
          </w:p>
        </w:tc>
        <w:tc>
          <w:tcPr>
            <w:tcW w:type="dxa" w:w="6946"/>
            <w:tcBorders>
              <w:top w:val="single" w:color="D0D4DC" w:sz="4"/>
              <w:left w:val="single" w:color="D0D4DC" w:sz="4"/>
              <w:bottom w:val="single" w:color="D0D4DC" w:sz="4"/>
              <w:right w:val="single" w:color="D0D4DC" w:sz="4"/>
            </w:tcBorders>
            <w:shd w:fill="FFFFFF" w:val="clear"/>
            <w:tcMar>
              <w:top w:type="dxa" w:w="100"/>
              <w:left w:type="dxa" w:w="120"/>
              <w:bottom w:type="dxa" w:w="100"/>
              <w:right w:type="dxa" w:w="120"/>
            </w:tcMar>
            <w:vAlign w:val="top"/>
          </w:tcPr>
          <w:p>
            <w:pPr>
              <w:spacing w:after="60" w:before="60"/>
              <w:jc w:val="left"/>
            </w:pPr>
            <w:r>
              <w:rPr>
                <w:rFonts w:ascii="Calibri" w:cs="Calibri" w:eastAsia="Calibri" w:hAnsi="Calibri"/>
                <w:color w:val="1A1A2E"/>
                <w:sz w:val="19"/>
                <w:szCs w:val="19"/>
              </w:rPr>
              <w:t xml:space="preserve">MiFID-like provenance and timestamp precision (microsecond UTC) satisfies FCA audit trail requirements for electronic records</w:t>
            </w:r>
          </w:p>
        </w:tc>
      </w:tr>
    </w:tbl>
    <w:p>
      <w:pPr>
        <w:spacing w:after="100" w:before="100"/>
      </w:pPr>
    </w:p>
    <w:p>
      <w:pPr>
        <w:pStyle w:val="Heading2"/>
        <w:spacing w:after="80" w:before="220"/>
      </w:pPr>
      <w:r>
        <w:rPr>
          <w:rFonts w:ascii="Calibri" w:cs="Calibri" w:eastAsia="Calibri" w:hAnsi="Calibri"/>
          <w:b/>
          <w:bCs/>
          <w:color w:val="1B4F8A"/>
          <w:sz w:val="24"/>
          <w:szCs w:val="24"/>
        </w:rPr>
        <w:t xml:space="preserve">11.2 ADGM FSRA — Digital Market Infrastructure</w:t>
      </w:r>
    </w:p>
    <w:p>
      <w:pPr>
        <w:spacing w:after="50" w:before="5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6946"/>
      </w:tblGrid>
      <w:tr>
        <w:tc>
          <w:tcPr>
            <w:tcW w:type="dxa" w:w="2800"/>
            <w:tcBorders>
              <w:top w:val="single" w:color="D0D4DC" w:sz="4"/>
              <w:left w:val="single" w:color="D0D4DC" w:sz="4"/>
              <w:bottom w:val="single" w:color="D0D4DC" w:sz="4"/>
              <w:right w:val="single" w:color="D0D4DC" w:sz="4"/>
            </w:tcBorders>
            <w:shd w:fill="EEF2F8" w:val="clear"/>
            <w:tcMar>
              <w:top w:type="dxa" w:w="100"/>
              <w:left w:type="dxa" w:w="120"/>
              <w:bottom w:type="dxa" w:w="100"/>
              <w:right w:type="dxa" w:w="120"/>
            </w:tcMar>
            <w:vAlign w:val="top"/>
          </w:tcPr>
          <w:p>
            <w:pPr>
              <w:spacing w:after="60" w:before="60"/>
              <w:jc w:val="left"/>
            </w:pPr>
            <w:r>
              <w:rPr>
                <w:rFonts w:ascii="Calibri" w:cs="Calibri" w:eastAsia="Calibri" w:hAnsi="Calibri"/>
                <w:b/>
                <w:bCs/>
                <w:color w:val="0D1E3A"/>
                <w:sz w:val="19"/>
                <w:szCs w:val="19"/>
              </w:rPr>
              <w:t xml:space="preserve">Infrastructure resilience</w:t>
            </w:r>
          </w:p>
        </w:tc>
        <w:tc>
          <w:tcPr>
            <w:tcW w:type="dxa" w:w="6946"/>
            <w:tcBorders>
              <w:top w:val="single" w:color="D0D4DC" w:sz="4"/>
              <w:left w:val="single" w:color="D0D4DC" w:sz="4"/>
              <w:bottom w:val="single" w:color="D0D4DC" w:sz="4"/>
              <w:right w:val="single" w:color="D0D4DC" w:sz="4"/>
            </w:tcBorders>
            <w:shd w:fill="F2F4F7" w:val="clear"/>
            <w:tcMar>
              <w:top w:type="dxa" w:w="100"/>
              <w:left w:type="dxa" w:w="120"/>
              <w:bottom w:type="dxa" w:w="100"/>
              <w:right w:type="dxa" w:w="120"/>
            </w:tcMar>
            <w:vAlign w:val="top"/>
          </w:tcPr>
          <w:p>
            <w:pPr>
              <w:spacing w:after="60" w:before="60"/>
              <w:jc w:val="left"/>
            </w:pPr>
            <w:r>
              <w:rPr>
                <w:rFonts w:ascii="Calibri" w:cs="Calibri" w:eastAsia="Calibri" w:hAnsi="Calibri"/>
                <w:color w:val="1A1A2E"/>
                <w:sz w:val="19"/>
                <w:szCs w:val="19"/>
              </w:rPr>
              <w:t xml:space="preserve">VENUE_STATUS events provide continuous connectivity monitoring across the Declared Supervisory Universe</w:t>
            </w:r>
          </w:p>
        </w:tc>
      </w:tr>
      <w:tr>
        <w:tc>
          <w:tcPr>
            <w:tcW w:type="dxa" w:w="2800"/>
            <w:tcBorders>
              <w:top w:val="single" w:color="D0D4DC" w:sz="4"/>
              <w:left w:val="single" w:color="D0D4DC" w:sz="4"/>
              <w:bottom w:val="single" w:color="D0D4DC" w:sz="4"/>
              <w:right w:val="single" w:color="D0D4DC" w:sz="4"/>
            </w:tcBorders>
            <w:shd w:fill="F8F9FB" w:val="clear"/>
            <w:tcMar>
              <w:top w:type="dxa" w:w="100"/>
              <w:left w:type="dxa" w:w="120"/>
              <w:bottom w:type="dxa" w:w="100"/>
              <w:right w:type="dxa" w:w="120"/>
            </w:tcMar>
            <w:vAlign w:val="top"/>
          </w:tcPr>
          <w:p>
            <w:pPr>
              <w:spacing w:after="60" w:before="60"/>
              <w:jc w:val="left"/>
            </w:pPr>
            <w:r>
              <w:rPr>
                <w:rFonts w:ascii="Calibri" w:cs="Calibri" w:eastAsia="Calibri" w:hAnsi="Calibri"/>
                <w:b/>
                <w:bCs/>
                <w:color w:val="0D1E3A"/>
                <w:sz w:val="19"/>
                <w:szCs w:val="19"/>
              </w:rPr>
              <w:t xml:space="preserve">Supervisory data provision</w:t>
            </w:r>
          </w:p>
        </w:tc>
        <w:tc>
          <w:tcPr>
            <w:tcW w:type="dxa" w:w="6946"/>
            <w:tcBorders>
              <w:top w:val="single" w:color="D0D4DC" w:sz="4"/>
              <w:left w:val="single" w:color="D0D4DC" w:sz="4"/>
              <w:bottom w:val="single" w:color="D0D4DC" w:sz="4"/>
              <w:right w:val="single" w:color="D0D4DC" w:sz="4"/>
            </w:tcBorders>
            <w:shd w:fill="FFFFFF" w:val="clear"/>
            <w:tcMar>
              <w:top w:type="dxa" w:w="100"/>
              <w:left w:type="dxa" w:w="120"/>
              <w:bottom w:type="dxa" w:w="100"/>
              <w:right w:type="dxa" w:w="120"/>
            </w:tcMar>
            <w:vAlign w:val="top"/>
          </w:tcPr>
          <w:p>
            <w:pPr>
              <w:spacing w:after="60" w:before="60"/>
              <w:jc w:val="left"/>
            </w:pPr>
            <w:r>
              <w:rPr>
                <w:rFonts w:ascii="Calibri" w:cs="Calibri" w:eastAsia="Calibri" w:hAnsi="Calibri"/>
                <w:color w:val="1A1A2E"/>
                <w:sz w:val="19"/>
                <w:szCs w:val="19"/>
              </w:rPr>
              <w:t xml:space="preserve">DACT’s deterministic replay enables regulators to reconstruct market state at any historical point</w:t>
            </w:r>
          </w:p>
        </w:tc>
      </w:tr>
      <w:tr>
        <w:tc>
          <w:tcPr>
            <w:tcW w:type="dxa" w:w="2800"/>
            <w:tcBorders>
              <w:top w:val="single" w:color="D0D4DC" w:sz="4"/>
              <w:left w:val="single" w:color="D0D4DC" w:sz="4"/>
              <w:bottom w:val="single" w:color="D0D4DC" w:sz="4"/>
              <w:right w:val="single" w:color="D0D4DC" w:sz="4"/>
            </w:tcBorders>
            <w:shd w:fill="EEF2F8" w:val="clear"/>
            <w:tcMar>
              <w:top w:type="dxa" w:w="100"/>
              <w:left w:type="dxa" w:w="120"/>
              <w:bottom w:type="dxa" w:w="100"/>
              <w:right w:type="dxa" w:w="120"/>
            </w:tcMar>
            <w:vAlign w:val="top"/>
          </w:tcPr>
          <w:p>
            <w:pPr>
              <w:spacing w:after="60" w:before="60"/>
              <w:jc w:val="left"/>
            </w:pPr>
            <w:r>
              <w:rPr>
                <w:rFonts w:ascii="Calibri" w:cs="Calibri" w:eastAsia="Calibri" w:hAnsi="Calibri"/>
                <w:b/>
                <w:bCs/>
                <w:color w:val="0D1E3A"/>
                <w:sz w:val="19"/>
                <w:szCs w:val="19"/>
              </w:rPr>
              <w:t xml:space="preserve">Pilot / sandbox supervision</w:t>
            </w:r>
          </w:p>
        </w:tc>
        <w:tc>
          <w:tcPr>
            <w:tcW w:type="dxa" w:w="6946"/>
            <w:tcBorders>
              <w:top w:val="single" w:color="D0D4DC" w:sz="4"/>
              <w:left w:val="single" w:color="D0D4DC" w:sz="4"/>
              <w:bottom w:val="single" w:color="D0D4DC" w:sz="4"/>
              <w:right w:val="single" w:color="D0D4DC" w:sz="4"/>
            </w:tcBorders>
            <w:shd w:fill="F2F4F7" w:val="clear"/>
            <w:tcMar>
              <w:top w:type="dxa" w:w="100"/>
              <w:left w:type="dxa" w:w="120"/>
              <w:bottom w:type="dxa" w:w="100"/>
              <w:right w:type="dxa" w:w="120"/>
            </w:tcMar>
            <w:vAlign w:val="top"/>
          </w:tcPr>
          <w:p>
            <w:pPr>
              <w:spacing w:after="60" w:before="60"/>
              <w:jc w:val="left"/>
            </w:pPr>
            <w:r>
              <w:rPr>
                <w:rFonts w:ascii="Calibri" w:cs="Calibri" w:eastAsia="Calibri" w:hAnsi="Calibri"/>
                <w:color w:val="1A1A2E"/>
                <w:sz w:val="19"/>
                <w:szCs w:val="19"/>
              </w:rPr>
              <w:t xml:space="preserve">DSU-scoped views provide controlled, well-defined data perimeters suitable for pilot regulatory frameworks</w:t>
            </w:r>
          </w:p>
        </w:tc>
      </w:tr>
      <w:tr>
        <w:tc>
          <w:tcPr>
            <w:tcW w:type="dxa" w:w="2800"/>
            <w:tcBorders>
              <w:top w:val="single" w:color="D0D4DC" w:sz="4"/>
              <w:left w:val="single" w:color="D0D4DC" w:sz="4"/>
              <w:bottom w:val="single" w:color="D0D4DC" w:sz="4"/>
              <w:right w:val="single" w:color="D0D4DC" w:sz="4"/>
            </w:tcBorders>
            <w:shd w:fill="F8F9FB" w:val="clear"/>
            <w:tcMar>
              <w:top w:type="dxa" w:w="100"/>
              <w:left w:type="dxa" w:w="120"/>
              <w:bottom w:type="dxa" w:w="100"/>
              <w:right w:type="dxa" w:w="120"/>
            </w:tcMar>
            <w:vAlign w:val="top"/>
          </w:tcPr>
          <w:p>
            <w:pPr>
              <w:spacing w:after="60" w:before="60"/>
              <w:jc w:val="left"/>
            </w:pPr>
            <w:r>
              <w:rPr>
                <w:rFonts w:ascii="Calibri" w:cs="Calibri" w:eastAsia="Calibri" w:hAnsi="Calibri"/>
                <w:b/>
                <w:bCs/>
                <w:color w:val="0D1E3A"/>
                <w:sz w:val="19"/>
                <w:szCs w:val="19"/>
              </w:rPr>
              <w:t xml:space="preserve">Cross-venue interdependence</w:t>
            </w:r>
          </w:p>
        </w:tc>
        <w:tc>
          <w:tcPr>
            <w:tcW w:type="dxa" w:w="6946"/>
            <w:tcBorders>
              <w:top w:val="single" w:color="D0D4DC" w:sz="4"/>
              <w:left w:val="single" w:color="D0D4DC" w:sz="4"/>
              <w:bottom w:val="single" w:color="D0D4DC" w:sz="4"/>
              <w:right w:val="single" w:color="D0D4DC" w:sz="4"/>
            </w:tcBorders>
            <w:shd w:fill="FFFFFF" w:val="clear"/>
            <w:tcMar>
              <w:top w:type="dxa" w:w="100"/>
              <w:left w:type="dxa" w:w="120"/>
              <w:bottom w:type="dxa" w:w="100"/>
              <w:right w:type="dxa" w:w="120"/>
            </w:tcMar>
            <w:vAlign w:val="top"/>
          </w:tcPr>
          <w:p>
            <w:pPr>
              <w:spacing w:after="60" w:before="60"/>
              <w:jc w:val="left"/>
            </w:pPr>
            <w:r>
              <w:rPr>
                <w:rFonts w:ascii="Calibri" w:cs="Calibri" w:eastAsia="Calibri" w:hAnsi="Calibri"/>
                <w:color w:val="1A1A2E"/>
                <w:sz w:val="19"/>
                <w:szCs w:val="19"/>
              </w:rPr>
              <w:t xml:space="preserve">Multi-venue ingestion captures fragmentation and divergence signals essential for systemic risk monitoring</w:t>
            </w:r>
          </w:p>
        </w:tc>
      </w:tr>
    </w:tbl>
    <w:p>
      <w:pPr>
        <w:spacing w:after="100" w:before="100"/>
      </w:pPr>
    </w:p>
    <w:p>
      <w:pPr>
        <w:pStyle w:val="Heading2"/>
        <w:spacing w:after="80" w:before="220"/>
      </w:pPr>
      <w:r>
        <w:rPr>
          <w:rFonts w:ascii="Calibri" w:cs="Calibri" w:eastAsia="Calibri" w:hAnsi="Calibri"/>
          <w:b/>
          <w:bCs/>
          <w:color w:val="1B4F8A"/>
          <w:sz w:val="24"/>
          <w:szCs w:val="24"/>
        </w:rPr>
        <w:t xml:space="preserve">11.3 MiFID II — Consolidated Tape Analogue</w:t>
      </w:r>
    </w:p>
    <w:p>
      <w:pPr>
        <w:spacing w:after="60" w:before="60"/>
        <w:jc w:val="left"/>
      </w:pPr>
      <w:r>
        <w:rPr>
          <w:rFonts w:ascii="Calibri" w:cs="Calibri" w:eastAsia="Calibri" w:hAnsi="Calibri"/>
          <w:color w:val="000000"/>
          <w:sz w:val="20"/>
          <w:szCs w:val="20"/>
        </w:rPr>
        <w:t xml:space="preserve">DACT is the digital asset analogue of the MiFID II consolidated tape framework for equities. It provides the same function that MiFID II mandated for European equity markets: a single, authoritative, venue-normalised record of post-trade data across fragmented market structures.</w:t>
      </w:r>
    </w:p>
    <w:p>
      <w:pPr>
        <w:spacing w:after="50" w:before="5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6946"/>
      </w:tblGrid>
      <w:tr>
        <w:tc>
          <w:tcPr>
            <w:tcW w:type="dxa" w:w="2800"/>
            <w:tcBorders>
              <w:top w:val="single" w:color="D0D4DC" w:sz="4"/>
              <w:left w:val="single" w:color="D0D4DC" w:sz="4"/>
              <w:bottom w:val="single" w:color="D0D4DC" w:sz="4"/>
              <w:right w:val="single" w:color="D0D4DC" w:sz="4"/>
            </w:tcBorders>
            <w:shd w:fill="EEF2F8" w:val="clear"/>
            <w:tcMar>
              <w:top w:type="dxa" w:w="100"/>
              <w:left w:type="dxa" w:w="120"/>
              <w:bottom w:type="dxa" w:w="100"/>
              <w:right w:type="dxa" w:w="120"/>
            </w:tcMar>
            <w:vAlign w:val="top"/>
          </w:tcPr>
          <w:p>
            <w:pPr>
              <w:spacing w:after="60" w:before="60"/>
              <w:jc w:val="left"/>
            </w:pPr>
            <w:r>
              <w:rPr>
                <w:rFonts w:ascii="Calibri" w:cs="Calibri" w:eastAsia="Calibri" w:hAnsi="Calibri"/>
                <w:b/>
                <w:bCs/>
                <w:color w:val="0D1E3A"/>
                <w:sz w:val="19"/>
                <w:szCs w:val="19"/>
              </w:rPr>
              <w:t xml:space="preserve">MiFID II Concept</w:t>
            </w:r>
          </w:p>
        </w:tc>
        <w:tc>
          <w:tcPr>
            <w:tcW w:type="dxa" w:w="6946"/>
            <w:tcBorders>
              <w:top w:val="single" w:color="D0D4DC" w:sz="4"/>
              <w:left w:val="single" w:color="D0D4DC" w:sz="4"/>
              <w:bottom w:val="single" w:color="D0D4DC" w:sz="4"/>
              <w:right w:val="single" w:color="D0D4DC" w:sz="4"/>
            </w:tcBorders>
            <w:shd w:fill="F2F4F7" w:val="clear"/>
            <w:tcMar>
              <w:top w:type="dxa" w:w="100"/>
              <w:left w:type="dxa" w:w="120"/>
              <w:bottom w:type="dxa" w:w="100"/>
              <w:right w:type="dxa" w:w="120"/>
            </w:tcMar>
            <w:vAlign w:val="top"/>
          </w:tcPr>
          <w:p>
            <w:pPr>
              <w:spacing w:after="60" w:before="60"/>
              <w:jc w:val="left"/>
            </w:pPr>
            <w:r>
              <w:rPr>
                <w:rFonts w:ascii="Calibri" w:cs="Calibri" w:eastAsia="Calibri" w:hAnsi="Calibri"/>
                <w:color w:val="1A1A2E"/>
                <w:sz w:val="19"/>
                <w:szCs w:val="19"/>
              </w:rPr>
              <w:t xml:space="preserve">DACT Equivalent</w:t>
            </w:r>
          </w:p>
        </w:tc>
      </w:tr>
      <w:tr>
        <w:tc>
          <w:tcPr>
            <w:tcW w:type="dxa" w:w="2800"/>
            <w:tcBorders>
              <w:top w:val="single" w:color="D0D4DC" w:sz="4"/>
              <w:left w:val="single" w:color="D0D4DC" w:sz="4"/>
              <w:bottom w:val="single" w:color="D0D4DC" w:sz="4"/>
              <w:right w:val="single" w:color="D0D4DC" w:sz="4"/>
            </w:tcBorders>
            <w:shd w:fill="F8F9FB" w:val="clear"/>
            <w:tcMar>
              <w:top w:type="dxa" w:w="100"/>
              <w:left w:type="dxa" w:w="120"/>
              <w:bottom w:type="dxa" w:w="100"/>
              <w:right w:type="dxa" w:w="120"/>
            </w:tcMar>
            <w:vAlign w:val="top"/>
          </w:tcPr>
          <w:p>
            <w:pPr>
              <w:spacing w:after="60" w:before="60"/>
              <w:jc w:val="left"/>
            </w:pPr>
            <w:r>
              <w:rPr>
                <w:rFonts w:ascii="Calibri" w:cs="Calibri" w:eastAsia="Calibri" w:hAnsi="Calibri"/>
                <w:b/>
                <w:bCs/>
                <w:color w:val="0D1E3A"/>
                <w:sz w:val="19"/>
                <w:szCs w:val="19"/>
              </w:rPr>
              <w:t xml:space="preserve">Consolidated Tape Provider (CTP)</w:t>
            </w:r>
          </w:p>
        </w:tc>
        <w:tc>
          <w:tcPr>
            <w:tcW w:type="dxa" w:w="6946"/>
            <w:tcBorders>
              <w:top w:val="single" w:color="D0D4DC" w:sz="4"/>
              <w:left w:val="single" w:color="D0D4DC" w:sz="4"/>
              <w:bottom w:val="single" w:color="D0D4DC" w:sz="4"/>
              <w:right w:val="single" w:color="D0D4DC" w:sz="4"/>
            </w:tcBorders>
            <w:shd w:fill="FFFFFF" w:val="clear"/>
            <w:tcMar>
              <w:top w:type="dxa" w:w="100"/>
              <w:left w:type="dxa" w:w="120"/>
              <w:bottom w:type="dxa" w:w="100"/>
              <w:right w:type="dxa" w:w="120"/>
            </w:tcMar>
            <w:vAlign w:val="top"/>
          </w:tcPr>
          <w:p>
            <w:pPr>
              <w:spacing w:after="60" w:before="60"/>
              <w:jc w:val="left"/>
            </w:pPr>
            <w:r>
              <w:rPr>
                <w:rFonts w:ascii="Calibri" w:cs="Calibri" w:eastAsia="Calibri" w:hAnsi="Calibri"/>
                <w:color w:val="1A1A2E"/>
                <w:sz w:val="19"/>
                <w:szCs w:val="19"/>
              </w:rPr>
              <w:t xml:space="preserve">DACT as the sole, canonical liquidity tape across all declared venues</w:t>
            </w:r>
          </w:p>
        </w:tc>
      </w:tr>
      <w:tr>
        <w:tc>
          <w:tcPr>
            <w:tcW w:type="dxa" w:w="2800"/>
            <w:tcBorders>
              <w:top w:val="single" w:color="D0D4DC" w:sz="4"/>
              <w:left w:val="single" w:color="D0D4DC" w:sz="4"/>
              <w:bottom w:val="single" w:color="D0D4DC" w:sz="4"/>
              <w:right w:val="single" w:color="D0D4DC" w:sz="4"/>
            </w:tcBorders>
            <w:shd w:fill="EEF2F8" w:val="clear"/>
            <w:tcMar>
              <w:top w:type="dxa" w:w="100"/>
              <w:left w:type="dxa" w:w="120"/>
              <w:bottom w:type="dxa" w:w="100"/>
              <w:right w:type="dxa" w:w="120"/>
            </w:tcMar>
            <w:vAlign w:val="top"/>
          </w:tcPr>
          <w:p>
            <w:pPr>
              <w:spacing w:after="60" w:before="60"/>
              <w:jc w:val="left"/>
            </w:pPr>
            <w:r>
              <w:rPr>
                <w:rFonts w:ascii="Calibri" w:cs="Calibri" w:eastAsia="Calibri" w:hAnsi="Calibri"/>
                <w:b/>
                <w:bCs/>
                <w:color w:val="0D1E3A"/>
                <w:sz w:val="19"/>
                <w:szCs w:val="19"/>
              </w:rPr>
              <w:t xml:space="preserve">Trade Reporting</w:t>
            </w:r>
          </w:p>
        </w:tc>
        <w:tc>
          <w:tcPr>
            <w:tcW w:type="dxa" w:w="6946"/>
            <w:tcBorders>
              <w:top w:val="single" w:color="D0D4DC" w:sz="4"/>
              <w:left w:val="single" w:color="D0D4DC" w:sz="4"/>
              <w:bottom w:val="single" w:color="D0D4DC" w:sz="4"/>
              <w:right w:val="single" w:color="D0D4DC" w:sz="4"/>
            </w:tcBorders>
            <w:shd w:fill="F2F4F7" w:val="clear"/>
            <w:tcMar>
              <w:top w:type="dxa" w:w="100"/>
              <w:left w:type="dxa" w:w="120"/>
              <w:bottom w:type="dxa" w:w="100"/>
              <w:right w:type="dxa" w:w="120"/>
            </w:tcMar>
            <w:vAlign w:val="top"/>
          </w:tcPr>
          <w:p>
            <w:pPr>
              <w:spacing w:after="60" w:before="60"/>
              <w:jc w:val="left"/>
            </w:pPr>
            <w:r>
              <w:rPr>
                <w:rFonts w:ascii="Calibri" w:cs="Calibri" w:eastAsia="Calibri" w:hAnsi="Calibri"/>
                <w:color w:val="1A1A2E"/>
                <w:sz w:val="19"/>
                <w:szCs w:val="19"/>
              </w:rPr>
              <w:t xml:space="preserve">TRADE events with full provenance, venue attribution, and microsecond timestamps</w:t>
            </w:r>
          </w:p>
        </w:tc>
      </w:tr>
      <w:tr>
        <w:tc>
          <w:tcPr>
            <w:tcW w:type="dxa" w:w="2800"/>
            <w:tcBorders>
              <w:top w:val="single" w:color="D0D4DC" w:sz="4"/>
              <w:left w:val="single" w:color="D0D4DC" w:sz="4"/>
              <w:bottom w:val="single" w:color="D0D4DC" w:sz="4"/>
              <w:right w:val="single" w:color="D0D4DC" w:sz="4"/>
            </w:tcBorders>
            <w:shd w:fill="F8F9FB" w:val="clear"/>
            <w:tcMar>
              <w:top w:type="dxa" w:w="100"/>
              <w:left w:type="dxa" w:w="120"/>
              <w:bottom w:type="dxa" w:w="100"/>
              <w:right w:type="dxa" w:w="120"/>
            </w:tcMar>
            <w:vAlign w:val="top"/>
          </w:tcPr>
          <w:p>
            <w:pPr>
              <w:spacing w:after="60" w:before="60"/>
              <w:jc w:val="left"/>
            </w:pPr>
            <w:r>
              <w:rPr>
                <w:rFonts w:ascii="Calibri" w:cs="Calibri" w:eastAsia="Calibri" w:hAnsi="Calibri"/>
                <w:b/>
                <w:bCs/>
                <w:color w:val="0D1E3A"/>
                <w:sz w:val="19"/>
                <w:szCs w:val="19"/>
              </w:rPr>
              <w:t xml:space="preserve">Best Execution Reporting</w:t>
            </w:r>
          </w:p>
        </w:tc>
        <w:tc>
          <w:tcPr>
            <w:tcW w:type="dxa" w:w="6946"/>
            <w:tcBorders>
              <w:top w:val="single" w:color="D0D4DC" w:sz="4"/>
              <w:left w:val="single" w:color="D0D4DC" w:sz="4"/>
              <w:bottom w:val="single" w:color="D0D4DC" w:sz="4"/>
              <w:right w:val="single" w:color="D0D4DC" w:sz="4"/>
            </w:tcBorders>
            <w:shd w:fill="FFFFFF" w:val="clear"/>
            <w:tcMar>
              <w:top w:type="dxa" w:w="100"/>
              <w:left w:type="dxa" w:w="120"/>
              <w:bottom w:type="dxa" w:w="100"/>
              <w:right w:type="dxa" w:w="120"/>
            </w:tcMar>
            <w:vAlign w:val="top"/>
          </w:tcPr>
          <w:p>
            <w:pPr>
              <w:spacing w:after="60" w:before="60"/>
              <w:jc w:val="left"/>
            </w:pPr>
            <w:r>
              <w:rPr>
                <w:rFonts w:ascii="Calibri" w:cs="Calibri" w:eastAsia="Calibri" w:hAnsi="Calibri"/>
                <w:color w:val="1A1A2E"/>
                <w:sz w:val="19"/>
                <w:szCs w:val="19"/>
              </w:rPr>
              <w:t xml:space="preserve">BBO_UPDATE and DEPTH_UPDATE events providing pre- and post-trade transparency</w:t>
            </w:r>
          </w:p>
        </w:tc>
      </w:tr>
      <w:tr>
        <w:tc>
          <w:tcPr>
            <w:tcW w:type="dxa" w:w="2800"/>
            <w:tcBorders>
              <w:top w:val="single" w:color="D0D4DC" w:sz="4"/>
              <w:left w:val="single" w:color="D0D4DC" w:sz="4"/>
              <w:bottom w:val="single" w:color="D0D4DC" w:sz="4"/>
              <w:right w:val="single" w:color="D0D4DC" w:sz="4"/>
            </w:tcBorders>
            <w:shd w:fill="EEF2F8" w:val="clear"/>
            <w:tcMar>
              <w:top w:type="dxa" w:w="100"/>
              <w:left w:type="dxa" w:w="120"/>
              <w:bottom w:type="dxa" w:w="100"/>
              <w:right w:type="dxa" w:w="120"/>
            </w:tcMar>
            <w:vAlign w:val="top"/>
          </w:tcPr>
          <w:p>
            <w:pPr>
              <w:spacing w:after="60" w:before="60"/>
              <w:jc w:val="left"/>
            </w:pPr>
            <w:r>
              <w:rPr>
                <w:rFonts w:ascii="Calibri" w:cs="Calibri" w:eastAsia="Calibri" w:hAnsi="Calibri"/>
                <w:b/>
                <w:bCs/>
                <w:color w:val="0D1E3A"/>
                <w:sz w:val="19"/>
                <w:szCs w:val="19"/>
              </w:rPr>
              <w:t xml:space="preserve">Regulatory Reporting</w:t>
            </w:r>
          </w:p>
        </w:tc>
        <w:tc>
          <w:tcPr>
            <w:tcW w:type="dxa" w:w="6946"/>
            <w:tcBorders>
              <w:top w:val="single" w:color="D0D4DC" w:sz="4"/>
              <w:left w:val="single" w:color="D0D4DC" w:sz="4"/>
              <w:bottom w:val="single" w:color="D0D4DC" w:sz="4"/>
              <w:right w:val="single" w:color="D0D4DC" w:sz="4"/>
            </w:tcBorders>
            <w:shd w:fill="F2F4F7" w:val="clear"/>
            <w:tcMar>
              <w:top w:type="dxa" w:w="100"/>
              <w:left w:type="dxa" w:w="120"/>
              <w:bottom w:type="dxa" w:w="100"/>
              <w:right w:type="dxa" w:w="120"/>
            </w:tcMar>
            <w:vAlign w:val="top"/>
          </w:tcPr>
          <w:p>
            <w:pPr>
              <w:spacing w:after="60" w:before="60"/>
              <w:jc w:val="left"/>
            </w:pPr>
            <w:r>
              <w:rPr>
                <w:rFonts w:ascii="Calibri" w:cs="Calibri" w:eastAsia="Calibri" w:hAnsi="Calibri"/>
                <w:color w:val="1A1A2E"/>
                <w:sz w:val="19"/>
                <w:szCs w:val="19"/>
              </w:rPr>
              <w:t xml:space="preserve">RCL layer renders DACT facts for supervisory consumption in regulatory-grade formats</w:t>
            </w:r>
          </w:p>
        </w:tc>
      </w:tr>
    </w:tbl>
    <w:p>
      <w:pPr>
        <w:spacing w:after="200" w:before="200"/>
      </w:pPr>
    </w:p>
    <w:p>
      <w:pPr>
        <w:pStyle w:val="Heading1"/>
        <w:pBdr>
          <w:bottom w:val="single" w:color="1B4F8A" w:sz="8" w:space="2"/>
        </w:pBdr>
        <w:spacing w:after="120" w:before="280"/>
      </w:pPr>
      <w:r>
        <w:rPr>
          <w:rFonts w:ascii="Calibri" w:cs="Calibri" w:eastAsia="Calibri" w:hAnsi="Calibri"/>
          <w:b/>
          <w:bCs/>
          <w:color w:val="0D1E3A"/>
          <w:sz w:val="28"/>
          <w:szCs w:val="28"/>
        </w:rPr>
        <w:t xml:space="preserve">12. Versioning &amp; Conformance (Normative)</w:t>
      </w:r>
    </w:p>
    <w:p>
      <w:pPr>
        <w:spacing w:after="60" w:before="80"/>
        <w:jc w:val="left"/>
      </w:pPr>
      <w:r>
        <w:rPr>
          <w:rFonts w:ascii="Calibri" w:cs="Calibri" w:eastAsia="Calibri" w:hAnsi="Calibri"/>
          <w:color w:val="000000"/>
          <w:sz w:val="20"/>
          <w:szCs w:val="20"/>
        </w:rPr>
        <w:t xml:space="preserve">This document is designated DACT-STD-1.0. Implementations MAY claim conformance only if they satisfy all normative requirements in Sections 4–9.</w:t>
      </w:r>
    </w:p>
    <w:p>
      <w:pPr>
        <w:spacing w:after="100" w:before="100"/>
      </w:pPr>
    </w:p>
    <w:p>
      <w:pPr>
        <w:pStyle w:val="Heading2"/>
        <w:spacing w:after="80" w:before="220"/>
      </w:pPr>
      <w:r>
        <w:rPr>
          <w:rFonts w:ascii="Calibri" w:cs="Calibri" w:eastAsia="Calibri" w:hAnsi="Calibri"/>
          <w:b/>
          <w:bCs/>
          <w:color w:val="1B4F8A"/>
          <w:sz w:val="24"/>
          <w:szCs w:val="24"/>
        </w:rPr>
        <w:t xml:space="preserve">12.1 Conformance Levels</w:t>
      </w:r>
    </w:p>
    <w:p>
      <w:pPr>
        <w:spacing w:after="50" w:before="5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6946"/>
      </w:tblGrid>
      <w:tr>
        <w:tc>
          <w:tcPr>
            <w:tcW w:type="dxa" w:w="2800"/>
            <w:tcBorders>
              <w:top w:val="single" w:color="D0D4DC" w:sz="4"/>
              <w:left w:val="single" w:color="D0D4DC" w:sz="4"/>
              <w:bottom w:val="single" w:color="D0D4DC" w:sz="4"/>
              <w:right w:val="single" w:color="D0D4DC" w:sz="4"/>
            </w:tcBorders>
            <w:shd w:fill="EEF2F8" w:val="clear"/>
            <w:tcMar>
              <w:top w:type="dxa" w:w="100"/>
              <w:left w:type="dxa" w:w="120"/>
              <w:bottom w:type="dxa" w:w="100"/>
              <w:right w:type="dxa" w:w="120"/>
            </w:tcMar>
            <w:vAlign w:val="top"/>
          </w:tcPr>
          <w:p>
            <w:pPr>
              <w:spacing w:after="60" w:before="60"/>
              <w:jc w:val="left"/>
            </w:pPr>
            <w:r>
              <w:rPr>
                <w:rFonts w:ascii="Calibri" w:cs="Calibri" w:eastAsia="Calibri" w:hAnsi="Calibri"/>
                <w:b/>
                <w:bCs/>
                <w:color w:val="0D1E3A"/>
                <w:sz w:val="19"/>
                <w:szCs w:val="19"/>
              </w:rPr>
              <w:t xml:space="preserve">Full Conformance</w:t>
            </w:r>
          </w:p>
        </w:tc>
        <w:tc>
          <w:tcPr>
            <w:tcW w:type="dxa" w:w="6946"/>
            <w:tcBorders>
              <w:top w:val="single" w:color="D0D4DC" w:sz="4"/>
              <w:left w:val="single" w:color="D0D4DC" w:sz="4"/>
              <w:bottom w:val="single" w:color="D0D4DC" w:sz="4"/>
              <w:right w:val="single" w:color="D0D4DC" w:sz="4"/>
            </w:tcBorders>
            <w:shd w:fill="F2F4F7" w:val="clear"/>
            <w:tcMar>
              <w:top w:type="dxa" w:w="100"/>
              <w:left w:type="dxa" w:w="120"/>
              <w:bottom w:type="dxa" w:w="100"/>
              <w:right w:type="dxa" w:w="120"/>
            </w:tcMar>
            <w:vAlign w:val="top"/>
          </w:tcPr>
          <w:p>
            <w:pPr>
              <w:spacing w:after="60" w:before="60"/>
              <w:jc w:val="left"/>
            </w:pPr>
            <w:r>
              <w:rPr>
                <w:rFonts w:ascii="Calibri" w:cs="Calibri" w:eastAsia="Calibri" w:hAnsi="Calibri"/>
                <w:color w:val="1A1A2E"/>
                <w:sz w:val="19"/>
                <w:szCs w:val="19"/>
              </w:rPr>
              <w:t xml:space="preserve">Implementation satisfies all MUST/SHALL requirements across Sections 4–9. All four event types supported. Non-contamination rule enforced. Retention requirements met.</w:t>
            </w:r>
          </w:p>
        </w:tc>
      </w:tr>
      <w:tr>
        <w:tc>
          <w:tcPr>
            <w:tcW w:type="dxa" w:w="2800"/>
            <w:tcBorders>
              <w:top w:val="single" w:color="D0D4DC" w:sz="4"/>
              <w:left w:val="single" w:color="D0D4DC" w:sz="4"/>
              <w:bottom w:val="single" w:color="D0D4DC" w:sz="4"/>
              <w:right w:val="single" w:color="D0D4DC" w:sz="4"/>
            </w:tcBorders>
            <w:shd w:fill="F8F9FB" w:val="clear"/>
            <w:tcMar>
              <w:top w:type="dxa" w:w="100"/>
              <w:left w:type="dxa" w:w="120"/>
              <w:bottom w:type="dxa" w:w="100"/>
              <w:right w:type="dxa" w:w="120"/>
            </w:tcMar>
            <w:vAlign w:val="top"/>
          </w:tcPr>
          <w:p>
            <w:pPr>
              <w:spacing w:after="60" w:before="60"/>
              <w:jc w:val="left"/>
            </w:pPr>
            <w:r>
              <w:rPr>
                <w:rFonts w:ascii="Calibri" w:cs="Calibri" w:eastAsia="Calibri" w:hAnsi="Calibri"/>
                <w:b/>
                <w:bCs/>
                <w:color w:val="0D1E3A"/>
                <w:sz w:val="19"/>
                <w:szCs w:val="19"/>
              </w:rPr>
              <w:t xml:space="preserve">Partial Conformance</w:t>
            </w:r>
          </w:p>
        </w:tc>
        <w:tc>
          <w:tcPr>
            <w:tcW w:type="dxa" w:w="6946"/>
            <w:tcBorders>
              <w:top w:val="single" w:color="D0D4DC" w:sz="4"/>
              <w:left w:val="single" w:color="D0D4DC" w:sz="4"/>
              <w:bottom w:val="single" w:color="D0D4DC" w:sz="4"/>
              <w:right w:val="single" w:color="D0D4DC" w:sz="4"/>
            </w:tcBorders>
            <w:shd w:fill="FFFFFF" w:val="clear"/>
            <w:tcMar>
              <w:top w:type="dxa" w:w="100"/>
              <w:left w:type="dxa" w:w="120"/>
              <w:bottom w:type="dxa" w:w="100"/>
              <w:right w:type="dxa" w:w="120"/>
            </w:tcMar>
            <w:vAlign w:val="top"/>
          </w:tcPr>
          <w:p>
            <w:pPr>
              <w:spacing w:after="60" w:before="60"/>
              <w:jc w:val="left"/>
            </w:pPr>
            <w:r>
              <w:rPr>
                <w:rFonts w:ascii="Calibri" w:cs="Calibri" w:eastAsia="Calibri" w:hAnsi="Calibri"/>
                <w:color w:val="1A1A2E"/>
                <w:sz w:val="19"/>
                <w:szCs w:val="19"/>
              </w:rPr>
              <w:t xml:space="preserve">Implementation satisfies a specified subset of event types or requirements. Deviations MUST be documented. Partial conformance claims MUST specify DACT-STD-1.0-Partial with exclusions listed.</w:t>
            </w:r>
          </w:p>
        </w:tc>
      </w:tr>
      <w:tr>
        <w:tc>
          <w:tcPr>
            <w:tcW w:type="dxa" w:w="2800"/>
            <w:tcBorders>
              <w:top w:val="single" w:color="D0D4DC" w:sz="4"/>
              <w:left w:val="single" w:color="D0D4DC" w:sz="4"/>
              <w:bottom w:val="single" w:color="D0D4DC" w:sz="4"/>
              <w:right w:val="single" w:color="D0D4DC" w:sz="4"/>
            </w:tcBorders>
            <w:shd w:fill="EEF2F8" w:val="clear"/>
            <w:tcMar>
              <w:top w:type="dxa" w:w="100"/>
              <w:left w:type="dxa" w:w="120"/>
              <w:bottom w:type="dxa" w:w="100"/>
              <w:right w:type="dxa" w:w="120"/>
            </w:tcMar>
            <w:vAlign w:val="top"/>
          </w:tcPr>
          <w:p>
            <w:pPr>
              <w:spacing w:after="60" w:before="60"/>
              <w:jc w:val="left"/>
            </w:pPr>
            <w:r>
              <w:rPr>
                <w:rFonts w:ascii="Calibri" w:cs="Calibri" w:eastAsia="Calibri" w:hAnsi="Calibri"/>
                <w:b/>
                <w:bCs/>
                <w:color w:val="0D1E3A"/>
                <w:sz w:val="19"/>
                <w:szCs w:val="19"/>
              </w:rPr>
              <w:t xml:space="preserve">Non-Conformance</w:t>
            </w:r>
          </w:p>
        </w:tc>
        <w:tc>
          <w:tcPr>
            <w:tcW w:type="dxa" w:w="6946"/>
            <w:tcBorders>
              <w:top w:val="single" w:color="D0D4DC" w:sz="4"/>
              <w:left w:val="single" w:color="D0D4DC" w:sz="4"/>
              <w:bottom w:val="single" w:color="D0D4DC" w:sz="4"/>
              <w:right w:val="single" w:color="D0D4DC" w:sz="4"/>
            </w:tcBorders>
            <w:shd w:fill="F2F4F7" w:val="clear"/>
            <w:tcMar>
              <w:top w:type="dxa" w:w="100"/>
              <w:left w:type="dxa" w:w="120"/>
              <w:bottom w:type="dxa" w:w="100"/>
              <w:right w:type="dxa" w:w="120"/>
            </w:tcMar>
            <w:vAlign w:val="top"/>
          </w:tcPr>
          <w:p>
            <w:pPr>
              <w:spacing w:after="60" w:before="60"/>
              <w:jc w:val="left"/>
            </w:pPr>
            <w:r>
              <w:rPr>
                <w:rFonts w:ascii="Calibri" w:cs="Calibri" w:eastAsia="Calibri" w:hAnsi="Calibri"/>
                <w:color w:val="1A1A2E"/>
                <w:sz w:val="19"/>
                <w:szCs w:val="19"/>
              </w:rPr>
              <w:t xml:space="preserve">Implementation fails one or more MUST/SHALL requirements. Non-conformant implementations SHALL NOT claim DACT-STD-1.0 compatibility.</w:t>
            </w:r>
          </w:p>
        </w:tc>
      </w:tr>
    </w:tbl>
    <w:p>
      <w:pPr>
        <w:spacing w:after="100" w:before="100"/>
      </w:pPr>
    </w:p>
    <w:p>
      <w:pPr>
        <w:pStyle w:val="Heading2"/>
        <w:spacing w:after="80" w:before="220"/>
      </w:pPr>
      <w:r>
        <w:rPr>
          <w:rFonts w:ascii="Calibri" w:cs="Calibri" w:eastAsia="Calibri" w:hAnsi="Calibri"/>
          <w:b/>
          <w:bCs/>
          <w:color w:val="1B4F8A"/>
          <w:sz w:val="24"/>
          <w:szCs w:val="24"/>
        </w:rPr>
        <w:t xml:space="preserve">12.2 Conformance Declaration</w:t>
      </w:r>
    </w:p>
    <w:p>
      <w:pPr>
        <w:spacing w:after="60" w:before="60"/>
        <w:jc w:val="left"/>
      </w:pPr>
      <w:r>
        <w:rPr>
          <w:rFonts w:ascii="Calibri" w:cs="Calibri" w:eastAsia="Calibri" w:hAnsi="Calibri"/>
          <w:color w:val="000000"/>
          <w:sz w:val="20"/>
          <w:szCs w:val="20"/>
        </w:rPr>
        <w:t xml:space="preserve">Any system claiming DACT-STD-1.0 conformance SHALL provide a conformance declaration specifying: standard identifier; conformance level; assessment date; assessor identity; any deviations with justification; audit trail reference; DSU declaration.</w:t>
      </w:r>
    </w:p>
    <w:p>
      <w:pPr>
        <w:spacing w:after="100" w:before="100"/>
      </w:pPr>
    </w:p>
    <w:p>
      <w:pPr>
        <w:pStyle w:val="Heading2"/>
        <w:spacing w:after="80" w:before="220"/>
      </w:pPr>
      <w:r>
        <w:rPr>
          <w:rFonts w:ascii="Calibri" w:cs="Calibri" w:eastAsia="Calibri" w:hAnsi="Calibri"/>
          <w:b/>
          <w:bCs/>
          <w:color w:val="1B4F8A"/>
          <w:sz w:val="24"/>
          <w:szCs w:val="24"/>
        </w:rPr>
        <w:t xml:space="preserve">12.3 Version Management</w:t>
      </w:r>
    </w:p>
    <w:p>
      <w:pPr>
        <w:spacing w:after="50" w:before="5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6946"/>
      </w:tblGrid>
      <w:tr>
        <w:tc>
          <w:tcPr>
            <w:tcW w:type="dxa" w:w="2800"/>
            <w:tcBorders>
              <w:top w:val="single" w:color="D0D4DC" w:sz="4"/>
              <w:left w:val="single" w:color="D0D4DC" w:sz="4"/>
              <w:bottom w:val="single" w:color="D0D4DC" w:sz="4"/>
              <w:right w:val="single" w:color="D0D4DC" w:sz="4"/>
            </w:tcBorders>
            <w:shd w:fill="EEF2F8" w:val="clear"/>
            <w:tcMar>
              <w:top w:type="dxa" w:w="100"/>
              <w:left w:type="dxa" w:w="120"/>
              <w:bottom w:type="dxa" w:w="100"/>
              <w:right w:type="dxa" w:w="120"/>
            </w:tcMar>
            <w:vAlign w:val="top"/>
          </w:tcPr>
          <w:p>
            <w:pPr>
              <w:spacing w:after="60" w:before="60"/>
              <w:jc w:val="left"/>
            </w:pPr>
            <w:r>
              <w:rPr>
                <w:rFonts w:ascii="Calibri" w:cs="Calibri" w:eastAsia="Calibri" w:hAnsi="Calibri"/>
                <w:b/>
                <w:bCs/>
                <w:color w:val="0D1E3A"/>
                <w:sz w:val="19"/>
                <w:szCs w:val="19"/>
              </w:rPr>
              <w:t xml:space="preserve">Standard Versioning</w:t>
            </w:r>
          </w:p>
        </w:tc>
        <w:tc>
          <w:tcPr>
            <w:tcW w:type="dxa" w:w="6946"/>
            <w:tcBorders>
              <w:top w:val="single" w:color="D0D4DC" w:sz="4"/>
              <w:left w:val="single" w:color="D0D4DC" w:sz="4"/>
              <w:bottom w:val="single" w:color="D0D4DC" w:sz="4"/>
              <w:right w:val="single" w:color="D0D4DC" w:sz="4"/>
            </w:tcBorders>
            <w:shd w:fill="F2F4F7" w:val="clear"/>
            <w:tcMar>
              <w:top w:type="dxa" w:w="100"/>
              <w:left w:type="dxa" w:w="120"/>
              <w:bottom w:type="dxa" w:w="100"/>
              <w:right w:type="dxa" w:w="120"/>
            </w:tcMar>
            <w:vAlign w:val="top"/>
          </w:tcPr>
          <w:p>
            <w:pPr>
              <w:spacing w:after="60" w:before="60"/>
              <w:jc w:val="left"/>
            </w:pPr>
            <w:r>
              <w:rPr>
                <w:rFonts w:ascii="Calibri" w:cs="Calibri" w:eastAsia="Calibri" w:hAnsi="Calibri"/>
                <w:color w:val="1A1A2E"/>
                <w:sz w:val="19"/>
                <w:szCs w:val="19"/>
              </w:rPr>
              <w:t xml:space="preserve">DACT-STD-MAJOR.MINOR for the standard; MAJOR.MINOR.PATCH for implementation versions</w:t>
            </w:r>
          </w:p>
        </w:tc>
      </w:tr>
      <w:tr>
        <w:tc>
          <w:tcPr>
            <w:tcW w:type="dxa" w:w="2800"/>
            <w:tcBorders>
              <w:top w:val="single" w:color="D0D4DC" w:sz="4"/>
              <w:left w:val="single" w:color="D0D4DC" w:sz="4"/>
              <w:bottom w:val="single" w:color="D0D4DC" w:sz="4"/>
              <w:right w:val="single" w:color="D0D4DC" w:sz="4"/>
            </w:tcBorders>
            <w:shd w:fill="F8F9FB" w:val="clear"/>
            <w:tcMar>
              <w:top w:type="dxa" w:w="100"/>
              <w:left w:type="dxa" w:w="120"/>
              <w:bottom w:type="dxa" w:w="100"/>
              <w:right w:type="dxa" w:w="120"/>
            </w:tcMar>
            <w:vAlign w:val="top"/>
          </w:tcPr>
          <w:p>
            <w:pPr>
              <w:spacing w:after="60" w:before="60"/>
              <w:jc w:val="left"/>
            </w:pPr>
            <w:r>
              <w:rPr>
                <w:rFonts w:ascii="Calibri" w:cs="Calibri" w:eastAsia="Calibri" w:hAnsi="Calibri"/>
                <w:b/>
                <w:bCs/>
                <w:color w:val="0D1E3A"/>
                <w:sz w:val="19"/>
                <w:szCs w:val="19"/>
              </w:rPr>
              <w:t xml:space="preserve">Minor Revisions</w:t>
            </w:r>
          </w:p>
        </w:tc>
        <w:tc>
          <w:tcPr>
            <w:tcW w:type="dxa" w:w="6946"/>
            <w:tcBorders>
              <w:top w:val="single" w:color="D0D4DC" w:sz="4"/>
              <w:left w:val="single" w:color="D0D4DC" w:sz="4"/>
              <w:bottom w:val="single" w:color="D0D4DC" w:sz="4"/>
              <w:right w:val="single" w:color="D0D4DC" w:sz="4"/>
            </w:tcBorders>
            <w:shd w:fill="FFFFFF" w:val="clear"/>
            <w:tcMar>
              <w:top w:type="dxa" w:w="100"/>
              <w:left w:type="dxa" w:w="120"/>
              <w:bottom w:type="dxa" w:w="100"/>
              <w:right w:type="dxa" w:w="120"/>
            </w:tcMar>
            <w:vAlign w:val="top"/>
          </w:tcPr>
          <w:p>
            <w:pPr>
              <w:spacing w:after="60" w:before="60"/>
              <w:jc w:val="left"/>
            </w:pPr>
            <w:r>
              <w:rPr>
                <w:rFonts w:ascii="Calibri" w:cs="Calibri" w:eastAsia="Calibri" w:hAnsi="Calibri"/>
                <w:color w:val="1A1A2E"/>
                <w:sz w:val="19"/>
                <w:szCs w:val="19"/>
              </w:rPr>
              <w:t xml:space="preserve">MAY clarify language or add new event types without breaking backward compatibility. Published as DACT-STD-1.x.</w:t>
            </w:r>
          </w:p>
        </w:tc>
      </w:tr>
      <w:tr>
        <w:tc>
          <w:tcPr>
            <w:tcW w:type="dxa" w:w="2800"/>
            <w:tcBorders>
              <w:top w:val="single" w:color="D0D4DC" w:sz="4"/>
              <w:left w:val="single" w:color="D0D4DC" w:sz="4"/>
              <w:bottom w:val="single" w:color="D0D4DC" w:sz="4"/>
              <w:right w:val="single" w:color="D0D4DC" w:sz="4"/>
            </w:tcBorders>
            <w:shd w:fill="EEF2F8" w:val="clear"/>
            <w:tcMar>
              <w:top w:type="dxa" w:w="100"/>
              <w:left w:type="dxa" w:w="120"/>
              <w:bottom w:type="dxa" w:w="100"/>
              <w:right w:type="dxa" w:w="120"/>
            </w:tcMar>
            <w:vAlign w:val="top"/>
          </w:tcPr>
          <w:p>
            <w:pPr>
              <w:spacing w:after="60" w:before="60"/>
              <w:jc w:val="left"/>
            </w:pPr>
            <w:r>
              <w:rPr>
                <w:rFonts w:ascii="Calibri" w:cs="Calibri" w:eastAsia="Calibri" w:hAnsi="Calibri"/>
                <w:b/>
                <w:bCs/>
                <w:color w:val="0D1E3A"/>
                <w:sz w:val="19"/>
                <w:szCs w:val="19"/>
              </w:rPr>
              <w:t xml:space="preserve">Major Revisions</w:t>
            </w:r>
          </w:p>
        </w:tc>
        <w:tc>
          <w:tcPr>
            <w:tcW w:type="dxa" w:w="6946"/>
            <w:tcBorders>
              <w:top w:val="single" w:color="D0D4DC" w:sz="4"/>
              <w:left w:val="single" w:color="D0D4DC" w:sz="4"/>
              <w:bottom w:val="single" w:color="D0D4DC" w:sz="4"/>
              <w:right w:val="single" w:color="D0D4DC" w:sz="4"/>
            </w:tcBorders>
            <w:shd w:fill="F2F4F7" w:val="clear"/>
            <w:tcMar>
              <w:top w:type="dxa" w:w="100"/>
              <w:left w:type="dxa" w:w="120"/>
              <w:bottom w:type="dxa" w:w="100"/>
              <w:right w:type="dxa" w:w="120"/>
            </w:tcMar>
            <w:vAlign w:val="top"/>
          </w:tcPr>
          <w:p>
            <w:pPr>
              <w:spacing w:after="60" w:before="60"/>
              <w:jc w:val="left"/>
            </w:pPr>
            <w:r>
              <w:rPr>
                <w:rFonts w:ascii="Calibri" w:cs="Calibri" w:eastAsia="Calibri" w:hAnsi="Calibri"/>
                <w:color w:val="1A1A2E"/>
                <w:sz w:val="19"/>
                <w:szCs w:val="19"/>
              </w:rPr>
              <w:t xml:space="preserve">MUST increment the standard identifier (e.g., DACT-STD-2.0). Required when schema or conformance requirements change materially.</w:t>
            </w:r>
          </w:p>
        </w:tc>
      </w:tr>
      <w:tr>
        <w:tc>
          <w:tcPr>
            <w:tcW w:type="dxa" w:w="2800"/>
            <w:tcBorders>
              <w:top w:val="single" w:color="D0D4DC" w:sz="4"/>
              <w:left w:val="single" w:color="D0D4DC" w:sz="4"/>
              <w:bottom w:val="single" w:color="D0D4DC" w:sz="4"/>
              <w:right w:val="single" w:color="D0D4DC" w:sz="4"/>
            </w:tcBorders>
            <w:shd w:fill="F8F9FB" w:val="clear"/>
            <w:tcMar>
              <w:top w:type="dxa" w:w="100"/>
              <w:left w:type="dxa" w:w="120"/>
              <w:bottom w:type="dxa" w:w="100"/>
              <w:right w:type="dxa" w:w="120"/>
            </w:tcMar>
            <w:vAlign w:val="top"/>
          </w:tcPr>
          <w:p>
            <w:pPr>
              <w:spacing w:after="60" w:before="60"/>
              <w:jc w:val="left"/>
            </w:pPr>
            <w:r>
              <w:rPr>
                <w:rFonts w:ascii="Calibri" w:cs="Calibri" w:eastAsia="Calibri" w:hAnsi="Calibri"/>
                <w:b/>
                <w:bCs/>
                <w:color w:val="0D1E3A"/>
                <w:sz w:val="19"/>
                <w:szCs w:val="19"/>
              </w:rPr>
              <w:t xml:space="preserve">LTR Version Coupling</w:t>
            </w:r>
          </w:p>
        </w:tc>
        <w:tc>
          <w:tcPr>
            <w:tcW w:type="dxa" w:w="6946"/>
            <w:tcBorders>
              <w:top w:val="single" w:color="D0D4DC" w:sz="4"/>
              <w:left w:val="single" w:color="D0D4DC" w:sz="4"/>
              <w:bottom w:val="single" w:color="D0D4DC" w:sz="4"/>
              <w:right w:val="single" w:color="D0D4DC" w:sz="4"/>
            </w:tcBorders>
            <w:shd w:fill="FFFFFF" w:val="clear"/>
            <w:tcMar>
              <w:top w:type="dxa" w:w="100"/>
              <w:left w:type="dxa" w:w="120"/>
              <w:bottom w:type="dxa" w:w="100"/>
              <w:right w:type="dxa" w:w="120"/>
            </w:tcMar>
            <w:vAlign w:val="top"/>
          </w:tcPr>
          <w:p>
            <w:pPr>
              <w:spacing w:after="60" w:before="60"/>
              <w:jc w:val="left"/>
            </w:pPr>
            <w:r>
              <w:rPr>
                <w:rFonts w:ascii="Calibri" w:cs="Calibri" w:eastAsia="Calibri" w:hAnsi="Calibri"/>
                <w:color w:val="1A1A2E"/>
                <w:sz w:val="19"/>
                <w:szCs w:val="19"/>
              </w:rPr>
              <w:t xml:space="preserve">DACT-STD-1.0 depends on LTR-0.1. LTR revisions that alter the canonical schema require a DACT-STD version increment.</w:t>
            </w:r>
          </w:p>
        </w:tc>
      </w:tr>
    </w:tbl>
    <w:p>
      <w:pPr>
        <w:spacing w:after="200" w:before="200"/>
      </w:pPr>
    </w:p>
    <w:p>
      <w:pPr>
        <w:pStyle w:val="Heading1"/>
        <w:pBdr>
          <w:bottom w:val="single" w:color="1B4F8A" w:sz="8" w:space="2"/>
        </w:pBdr>
        <w:spacing w:after="120" w:before="280"/>
      </w:pPr>
      <w:r>
        <w:rPr>
          <w:rFonts w:ascii="Calibri" w:cs="Calibri" w:eastAsia="Calibri" w:hAnsi="Calibri"/>
          <w:b/>
          <w:bCs/>
          <w:color w:val="0D1E3A"/>
          <w:sz w:val="28"/>
          <w:szCs w:val="28"/>
        </w:rPr>
        <w:t xml:space="preserve">13. Non-Goals (Informative)</w:t>
      </w:r>
    </w:p>
    <w:p>
      <w:pPr>
        <w:spacing w:after="60" w:before="80"/>
        <w:jc w:val="left"/>
      </w:pPr>
      <w:r>
        <w:rPr>
          <w:rFonts w:ascii="Calibri" w:cs="Calibri" w:eastAsia="Calibri" w:hAnsi="Calibri"/>
          <w:color w:val="000000"/>
          <w:sz w:val="20"/>
          <w:szCs w:val="20"/>
        </w:rPr>
        <w:t xml:space="preserve">The following capabilities are explicitly outside the scope of DACT and this standard. These are design constraints, not future roadmap items.</w:t>
      </w:r>
    </w:p>
    <w:p>
      <w:pPr>
        <w:spacing w:after="100" w:before="1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6946"/>
      </w:tblGrid>
      <w:tr>
        <w:tc>
          <w:tcPr>
            <w:tcW w:type="dxa" w:w="2800"/>
            <w:tcBorders>
              <w:top w:val="single" w:color="D0D4DC" w:sz="4"/>
              <w:left w:val="single" w:color="D0D4DC" w:sz="4"/>
              <w:bottom w:val="single" w:color="D0D4DC" w:sz="4"/>
              <w:right w:val="single" w:color="D0D4DC" w:sz="4"/>
            </w:tcBorders>
            <w:shd w:fill="EEF2F8" w:val="clear"/>
            <w:tcMar>
              <w:top w:type="dxa" w:w="100"/>
              <w:left w:type="dxa" w:w="120"/>
              <w:bottom w:type="dxa" w:w="100"/>
              <w:right w:type="dxa" w:w="120"/>
            </w:tcMar>
            <w:vAlign w:val="top"/>
          </w:tcPr>
          <w:p>
            <w:pPr>
              <w:spacing w:after="60" w:before="60"/>
              <w:jc w:val="left"/>
            </w:pPr>
            <w:r>
              <w:rPr>
                <w:rFonts w:ascii="Calibri" w:cs="Calibri" w:eastAsia="Calibri" w:hAnsi="Calibri"/>
                <w:b/>
                <w:bCs/>
                <w:color w:val="0D1E3A"/>
                <w:sz w:val="19"/>
                <w:szCs w:val="19"/>
              </w:rPr>
              <w:t xml:space="preserve">Liquidity scoring</w:t>
            </w:r>
          </w:p>
        </w:tc>
        <w:tc>
          <w:tcPr>
            <w:tcW w:type="dxa" w:w="6946"/>
            <w:tcBorders>
              <w:top w:val="single" w:color="D0D4DC" w:sz="4"/>
              <w:left w:val="single" w:color="D0D4DC" w:sz="4"/>
              <w:bottom w:val="single" w:color="D0D4DC" w:sz="4"/>
              <w:right w:val="single" w:color="D0D4DC" w:sz="4"/>
            </w:tcBorders>
            <w:shd w:fill="F2F4F7" w:val="clear"/>
            <w:tcMar>
              <w:top w:type="dxa" w:w="100"/>
              <w:left w:type="dxa" w:w="120"/>
              <w:bottom w:type="dxa" w:w="100"/>
              <w:right w:type="dxa" w:w="120"/>
            </w:tcMar>
            <w:vAlign w:val="top"/>
          </w:tcPr>
          <w:p>
            <w:pPr>
              <w:spacing w:after="60" w:before="60"/>
              <w:jc w:val="left"/>
            </w:pPr>
            <w:r>
              <w:rPr>
                <w:rFonts w:ascii="Calibri" w:cs="Calibri" w:eastAsia="Calibri" w:hAnsi="Calibri"/>
                <w:color w:val="1A1A2E"/>
                <w:sz w:val="19"/>
                <w:szCs w:val="19"/>
              </w:rPr>
              <w:t xml:space="preserve">DACT does not produce scores, ratings, or quality assessments — that is PoLi™'s domain</w:t>
            </w:r>
          </w:p>
        </w:tc>
      </w:tr>
      <w:tr>
        <w:tc>
          <w:tcPr>
            <w:tcW w:type="dxa" w:w="2800"/>
            <w:tcBorders>
              <w:top w:val="single" w:color="D0D4DC" w:sz="4"/>
              <w:left w:val="single" w:color="D0D4DC" w:sz="4"/>
              <w:bottom w:val="single" w:color="D0D4DC" w:sz="4"/>
              <w:right w:val="single" w:color="D0D4DC" w:sz="4"/>
            </w:tcBorders>
            <w:shd w:fill="F8F9FB" w:val="clear"/>
            <w:tcMar>
              <w:top w:type="dxa" w:w="100"/>
              <w:left w:type="dxa" w:w="120"/>
              <w:bottom w:type="dxa" w:w="100"/>
              <w:right w:type="dxa" w:w="120"/>
            </w:tcMar>
            <w:vAlign w:val="top"/>
          </w:tcPr>
          <w:p>
            <w:pPr>
              <w:spacing w:after="60" w:before="60"/>
              <w:jc w:val="left"/>
            </w:pPr>
            <w:r>
              <w:rPr>
                <w:rFonts w:ascii="Calibri" w:cs="Calibri" w:eastAsia="Calibri" w:hAnsi="Calibri"/>
                <w:b/>
                <w:bCs/>
                <w:color w:val="0D1E3A"/>
                <w:sz w:val="19"/>
                <w:szCs w:val="19"/>
              </w:rPr>
              <w:t xml:space="preserve">Intelligence / analytics</w:t>
            </w:r>
          </w:p>
        </w:tc>
        <w:tc>
          <w:tcPr>
            <w:tcW w:type="dxa" w:w="6946"/>
            <w:tcBorders>
              <w:top w:val="single" w:color="D0D4DC" w:sz="4"/>
              <w:left w:val="single" w:color="D0D4DC" w:sz="4"/>
              <w:bottom w:val="single" w:color="D0D4DC" w:sz="4"/>
              <w:right w:val="single" w:color="D0D4DC" w:sz="4"/>
            </w:tcBorders>
            <w:shd w:fill="FFFFFF" w:val="clear"/>
            <w:tcMar>
              <w:top w:type="dxa" w:w="100"/>
              <w:left w:type="dxa" w:w="120"/>
              <w:bottom w:type="dxa" w:w="100"/>
              <w:right w:type="dxa" w:w="120"/>
            </w:tcMar>
            <w:vAlign w:val="top"/>
          </w:tcPr>
          <w:p>
            <w:pPr>
              <w:spacing w:after="60" w:before="60"/>
              <w:jc w:val="left"/>
            </w:pPr>
            <w:r>
              <w:rPr>
                <w:rFonts w:ascii="Calibri" w:cs="Calibri" w:eastAsia="Calibri" w:hAnsi="Calibri"/>
                <w:color w:val="1A1A2E"/>
                <w:sz w:val="19"/>
                <w:szCs w:val="19"/>
              </w:rPr>
              <w:t xml:space="preserve">DACT does not interpret data or produce analytical signals — that is STRATA® AI’s domain</w:t>
            </w:r>
          </w:p>
        </w:tc>
      </w:tr>
      <w:tr>
        <w:tc>
          <w:tcPr>
            <w:tcW w:type="dxa" w:w="2800"/>
            <w:tcBorders>
              <w:top w:val="single" w:color="D0D4DC" w:sz="4"/>
              <w:left w:val="single" w:color="D0D4DC" w:sz="4"/>
              <w:bottom w:val="single" w:color="D0D4DC" w:sz="4"/>
              <w:right w:val="single" w:color="D0D4DC" w:sz="4"/>
            </w:tcBorders>
            <w:shd w:fill="EEF2F8" w:val="clear"/>
            <w:tcMar>
              <w:top w:type="dxa" w:w="100"/>
              <w:left w:type="dxa" w:w="120"/>
              <w:bottom w:type="dxa" w:w="100"/>
              <w:right w:type="dxa" w:w="120"/>
            </w:tcMar>
            <w:vAlign w:val="top"/>
          </w:tcPr>
          <w:p>
            <w:pPr>
              <w:spacing w:after="60" w:before="60"/>
              <w:jc w:val="left"/>
            </w:pPr>
            <w:r>
              <w:rPr>
                <w:rFonts w:ascii="Calibri" w:cs="Calibri" w:eastAsia="Calibri" w:hAnsi="Calibri"/>
                <w:b/>
                <w:bCs/>
                <w:color w:val="0D1E3A"/>
                <w:sz w:val="19"/>
                <w:szCs w:val="19"/>
              </w:rPr>
              <w:t xml:space="preserve">Price discovery</w:t>
            </w:r>
          </w:p>
        </w:tc>
        <w:tc>
          <w:tcPr>
            <w:tcW w:type="dxa" w:w="6946"/>
            <w:tcBorders>
              <w:top w:val="single" w:color="D0D4DC" w:sz="4"/>
              <w:left w:val="single" w:color="D0D4DC" w:sz="4"/>
              <w:bottom w:val="single" w:color="D0D4DC" w:sz="4"/>
              <w:right w:val="single" w:color="D0D4DC" w:sz="4"/>
            </w:tcBorders>
            <w:shd w:fill="F2F4F7" w:val="clear"/>
            <w:tcMar>
              <w:top w:type="dxa" w:w="100"/>
              <w:left w:type="dxa" w:w="120"/>
              <w:bottom w:type="dxa" w:w="100"/>
              <w:right w:type="dxa" w:w="120"/>
            </w:tcMar>
            <w:vAlign w:val="top"/>
          </w:tcPr>
          <w:p>
            <w:pPr>
              <w:spacing w:after="60" w:before="60"/>
              <w:jc w:val="left"/>
            </w:pPr>
            <w:r>
              <w:rPr>
                <w:rFonts w:ascii="Calibri" w:cs="Calibri" w:eastAsia="Calibri" w:hAnsi="Calibri"/>
                <w:color w:val="1A1A2E"/>
                <w:sz w:val="19"/>
                <w:szCs w:val="19"/>
              </w:rPr>
              <w:t xml:space="preserve">DACT records observable prices; it does not produce reference prices or benchmarks</w:t>
            </w:r>
          </w:p>
        </w:tc>
      </w:tr>
      <w:tr>
        <w:tc>
          <w:tcPr>
            <w:tcW w:type="dxa" w:w="2800"/>
            <w:tcBorders>
              <w:top w:val="single" w:color="D0D4DC" w:sz="4"/>
              <w:left w:val="single" w:color="D0D4DC" w:sz="4"/>
              <w:bottom w:val="single" w:color="D0D4DC" w:sz="4"/>
              <w:right w:val="single" w:color="D0D4DC" w:sz="4"/>
            </w:tcBorders>
            <w:shd w:fill="F8F9FB" w:val="clear"/>
            <w:tcMar>
              <w:top w:type="dxa" w:w="100"/>
              <w:left w:type="dxa" w:w="120"/>
              <w:bottom w:type="dxa" w:w="100"/>
              <w:right w:type="dxa" w:w="120"/>
            </w:tcMar>
            <w:vAlign w:val="top"/>
          </w:tcPr>
          <w:p>
            <w:pPr>
              <w:spacing w:after="60" w:before="60"/>
              <w:jc w:val="left"/>
            </w:pPr>
            <w:r>
              <w:rPr>
                <w:rFonts w:ascii="Calibri" w:cs="Calibri" w:eastAsia="Calibri" w:hAnsi="Calibri"/>
                <w:b/>
                <w:bCs/>
                <w:color w:val="0D1E3A"/>
                <w:sz w:val="19"/>
                <w:szCs w:val="19"/>
              </w:rPr>
              <w:t xml:space="preserve">Order routing</w:t>
            </w:r>
          </w:p>
        </w:tc>
        <w:tc>
          <w:tcPr>
            <w:tcW w:type="dxa" w:w="6946"/>
            <w:tcBorders>
              <w:top w:val="single" w:color="D0D4DC" w:sz="4"/>
              <w:left w:val="single" w:color="D0D4DC" w:sz="4"/>
              <w:bottom w:val="single" w:color="D0D4DC" w:sz="4"/>
              <w:right w:val="single" w:color="D0D4DC" w:sz="4"/>
            </w:tcBorders>
            <w:shd w:fill="FFFFFF" w:val="clear"/>
            <w:tcMar>
              <w:top w:type="dxa" w:w="100"/>
              <w:left w:type="dxa" w:w="120"/>
              <w:bottom w:type="dxa" w:w="100"/>
              <w:right w:type="dxa" w:w="120"/>
            </w:tcMar>
            <w:vAlign w:val="top"/>
          </w:tcPr>
          <w:p>
            <w:pPr>
              <w:spacing w:after="60" w:before="60"/>
              <w:jc w:val="left"/>
            </w:pPr>
            <w:r>
              <w:rPr>
                <w:rFonts w:ascii="Calibri" w:cs="Calibri" w:eastAsia="Calibri" w:hAnsi="Calibri"/>
                <w:color w:val="1A1A2E"/>
                <w:sz w:val="19"/>
                <w:szCs w:val="19"/>
              </w:rPr>
              <w:t xml:space="preserve">DACT does not route orders or participate in execution flow</w:t>
            </w:r>
          </w:p>
        </w:tc>
      </w:tr>
      <w:tr>
        <w:tc>
          <w:tcPr>
            <w:tcW w:type="dxa" w:w="2800"/>
            <w:tcBorders>
              <w:top w:val="single" w:color="D0D4DC" w:sz="4"/>
              <w:left w:val="single" w:color="D0D4DC" w:sz="4"/>
              <w:bottom w:val="single" w:color="D0D4DC" w:sz="4"/>
              <w:right w:val="single" w:color="D0D4DC" w:sz="4"/>
            </w:tcBorders>
            <w:shd w:fill="EEF2F8" w:val="clear"/>
            <w:tcMar>
              <w:top w:type="dxa" w:w="100"/>
              <w:left w:type="dxa" w:w="120"/>
              <w:bottom w:type="dxa" w:w="100"/>
              <w:right w:type="dxa" w:w="120"/>
            </w:tcMar>
            <w:vAlign w:val="top"/>
          </w:tcPr>
          <w:p>
            <w:pPr>
              <w:spacing w:after="60" w:before="60"/>
              <w:jc w:val="left"/>
            </w:pPr>
            <w:r>
              <w:rPr>
                <w:rFonts w:ascii="Calibri" w:cs="Calibri" w:eastAsia="Calibri" w:hAnsi="Calibri"/>
                <w:b/>
                <w:bCs/>
                <w:color w:val="0D1E3A"/>
                <w:sz w:val="19"/>
                <w:szCs w:val="19"/>
              </w:rPr>
              <w:t xml:space="preserve">Risk aggregation</w:t>
            </w:r>
          </w:p>
        </w:tc>
        <w:tc>
          <w:tcPr>
            <w:tcW w:type="dxa" w:w="6946"/>
            <w:tcBorders>
              <w:top w:val="single" w:color="D0D4DC" w:sz="4"/>
              <w:left w:val="single" w:color="D0D4DC" w:sz="4"/>
              <w:bottom w:val="single" w:color="D0D4DC" w:sz="4"/>
              <w:right w:val="single" w:color="D0D4DC" w:sz="4"/>
            </w:tcBorders>
            <w:shd w:fill="F2F4F7" w:val="clear"/>
            <w:tcMar>
              <w:top w:type="dxa" w:w="100"/>
              <w:left w:type="dxa" w:w="120"/>
              <w:bottom w:type="dxa" w:w="100"/>
              <w:right w:type="dxa" w:w="120"/>
            </w:tcMar>
            <w:vAlign w:val="top"/>
          </w:tcPr>
          <w:p>
            <w:pPr>
              <w:spacing w:after="60" w:before="60"/>
              <w:jc w:val="left"/>
            </w:pPr>
            <w:r>
              <w:rPr>
                <w:rFonts w:ascii="Calibri" w:cs="Calibri" w:eastAsia="Calibri" w:hAnsi="Calibri"/>
                <w:color w:val="1A1A2E"/>
                <w:sz w:val="19"/>
                <w:szCs w:val="19"/>
              </w:rPr>
              <w:t xml:space="preserve">DACT does not compute portfolio or systemic risk metrics</w:t>
            </w:r>
          </w:p>
        </w:tc>
      </w:tr>
      <w:tr>
        <w:tc>
          <w:tcPr>
            <w:tcW w:type="dxa" w:w="2800"/>
            <w:tcBorders>
              <w:top w:val="single" w:color="D0D4DC" w:sz="4"/>
              <w:left w:val="single" w:color="D0D4DC" w:sz="4"/>
              <w:bottom w:val="single" w:color="D0D4DC" w:sz="4"/>
              <w:right w:val="single" w:color="D0D4DC" w:sz="4"/>
            </w:tcBorders>
            <w:shd w:fill="F8F9FB" w:val="clear"/>
            <w:tcMar>
              <w:top w:type="dxa" w:w="100"/>
              <w:left w:type="dxa" w:w="120"/>
              <w:bottom w:type="dxa" w:w="100"/>
              <w:right w:type="dxa" w:w="120"/>
            </w:tcMar>
            <w:vAlign w:val="top"/>
          </w:tcPr>
          <w:p>
            <w:pPr>
              <w:spacing w:after="60" w:before="60"/>
              <w:jc w:val="left"/>
            </w:pPr>
            <w:r>
              <w:rPr>
                <w:rFonts w:ascii="Calibri" w:cs="Calibri" w:eastAsia="Calibri" w:hAnsi="Calibri"/>
                <w:b/>
                <w:bCs/>
                <w:color w:val="0D1E3A"/>
                <w:sz w:val="19"/>
                <w:szCs w:val="19"/>
              </w:rPr>
              <w:t xml:space="preserve">Compliance judgments</w:t>
            </w:r>
          </w:p>
        </w:tc>
        <w:tc>
          <w:tcPr>
            <w:tcW w:type="dxa" w:w="6946"/>
            <w:tcBorders>
              <w:top w:val="single" w:color="D0D4DC" w:sz="4"/>
              <w:left w:val="single" w:color="D0D4DC" w:sz="4"/>
              <w:bottom w:val="single" w:color="D0D4DC" w:sz="4"/>
              <w:right w:val="single" w:color="D0D4DC" w:sz="4"/>
            </w:tcBorders>
            <w:shd w:fill="FFFFFF" w:val="clear"/>
            <w:tcMar>
              <w:top w:type="dxa" w:w="100"/>
              <w:left w:type="dxa" w:w="120"/>
              <w:bottom w:type="dxa" w:w="100"/>
              <w:right w:type="dxa" w:w="120"/>
            </w:tcMar>
            <w:vAlign w:val="top"/>
          </w:tcPr>
          <w:p>
            <w:pPr>
              <w:spacing w:after="60" w:before="60"/>
              <w:jc w:val="left"/>
            </w:pPr>
            <w:r>
              <w:rPr>
                <w:rFonts w:ascii="Calibri" w:cs="Calibri" w:eastAsia="Calibri" w:hAnsi="Calibri"/>
                <w:color w:val="1A1A2E"/>
                <w:sz w:val="19"/>
                <w:szCs w:val="19"/>
              </w:rPr>
              <w:t xml:space="preserve">DACT does not determine regulatory violations or recommend enforcement</w:t>
            </w:r>
          </w:p>
        </w:tc>
      </w:tr>
      <w:tr>
        <w:tc>
          <w:tcPr>
            <w:tcW w:type="dxa" w:w="2800"/>
            <w:tcBorders>
              <w:top w:val="single" w:color="D0D4DC" w:sz="4"/>
              <w:left w:val="single" w:color="D0D4DC" w:sz="4"/>
              <w:bottom w:val="single" w:color="D0D4DC" w:sz="4"/>
              <w:right w:val="single" w:color="D0D4DC" w:sz="4"/>
            </w:tcBorders>
            <w:shd w:fill="EEF2F8" w:val="clear"/>
            <w:tcMar>
              <w:top w:type="dxa" w:w="100"/>
              <w:left w:type="dxa" w:w="120"/>
              <w:bottom w:type="dxa" w:w="100"/>
              <w:right w:type="dxa" w:w="120"/>
            </w:tcMar>
            <w:vAlign w:val="top"/>
          </w:tcPr>
          <w:p>
            <w:pPr>
              <w:spacing w:after="60" w:before="60"/>
              <w:jc w:val="left"/>
            </w:pPr>
            <w:r>
              <w:rPr>
                <w:rFonts w:ascii="Calibri" w:cs="Calibri" w:eastAsia="Calibri" w:hAnsi="Calibri"/>
                <w:b/>
                <w:bCs/>
                <w:color w:val="0D1E3A"/>
                <w:sz w:val="19"/>
                <w:szCs w:val="19"/>
              </w:rPr>
              <w:t xml:space="preserve">Data gap filling</w:t>
            </w:r>
          </w:p>
        </w:tc>
        <w:tc>
          <w:tcPr>
            <w:tcW w:type="dxa" w:w="6946"/>
            <w:tcBorders>
              <w:top w:val="single" w:color="D0D4DC" w:sz="4"/>
              <w:left w:val="single" w:color="D0D4DC" w:sz="4"/>
              <w:bottom w:val="single" w:color="D0D4DC" w:sz="4"/>
              <w:right w:val="single" w:color="D0D4DC" w:sz="4"/>
            </w:tcBorders>
            <w:shd w:fill="F2F4F7" w:val="clear"/>
            <w:tcMar>
              <w:top w:type="dxa" w:w="100"/>
              <w:left w:type="dxa" w:w="120"/>
              <w:bottom w:type="dxa" w:w="100"/>
              <w:right w:type="dxa" w:w="120"/>
            </w:tcMar>
            <w:vAlign w:val="top"/>
          </w:tcPr>
          <w:p>
            <w:pPr>
              <w:spacing w:after="60" w:before="60"/>
              <w:jc w:val="left"/>
            </w:pPr>
            <w:r>
              <w:rPr>
                <w:rFonts w:ascii="Calibri" w:cs="Calibri" w:eastAsia="Calibri" w:hAnsi="Calibri"/>
                <w:color w:val="1A1A2E"/>
                <w:sz w:val="19"/>
                <w:szCs w:val="19"/>
              </w:rPr>
              <w:t xml:space="preserve">DACT records absence as absence. It never infers or interpolates missing venue data</w:t>
            </w:r>
          </w:p>
        </w:tc>
      </w:tr>
    </w:tbl>
    <w:p>
      <w:pPr>
        <w:spacing w:after="200" w:before="200"/>
      </w:pPr>
    </w:p>
    <w:p>
      <w:pPr>
        <w:pStyle w:val="Heading1"/>
        <w:pBdr>
          <w:bottom w:val="single" w:color="1B4F8A" w:sz="8" w:space="2"/>
        </w:pBdr>
        <w:spacing w:after="120" w:before="280"/>
      </w:pPr>
      <w:r>
        <w:rPr>
          <w:rFonts w:ascii="Calibri" w:cs="Calibri" w:eastAsia="Calibri" w:hAnsi="Calibri"/>
          <w:b/>
          <w:bCs/>
          <w:color w:val="0D1E3A"/>
          <w:sz w:val="28"/>
          <w:szCs w:val="28"/>
        </w:rPr>
        <w:t xml:space="preserve">14. Summary (Informative)</w:t>
      </w:r>
    </w:p>
    <w:p>
      <w:pPr>
        <w:spacing w:after="100" w:before="1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B4F8A" w:sz="4"/>
              <w:left w:val="single" w:color="1B4F8A" w:sz="4"/>
              <w:bottom w:val="single" w:color="1B4F8A" w:sz="4"/>
              <w:right w:val="single" w:color="1B4F8A" w:sz="4"/>
            </w:tcBorders>
            <w:shd w:fill="EEF2F8" w:val="clear"/>
            <w:tcMar>
              <w:top w:type="dxa" w:w="100"/>
              <w:left w:type="dxa" w:w="120"/>
              <w:bottom w:type="dxa" w:w="100"/>
              <w:right w:type="dxa" w:w="120"/>
            </w:tcMar>
            <w:vAlign w:val="top"/>
          </w:tcPr>
          <w:p>
            <w:pPr>
              <w:spacing w:after="60" w:before="60"/>
              <w:jc w:val="left"/>
            </w:pPr>
            <w:r>
              <w:rPr>
                <w:rFonts w:ascii="Calibri" w:cs="Calibri" w:eastAsia="Calibri" w:hAnsi="Calibri"/>
                <w:b/>
                <w:bCs/>
                <w:color w:val="0D1E3A"/>
                <w:sz w:val="22"/>
                <w:szCs w:val="22"/>
              </w:rPr>
              <w:t xml:space="preserve">The Stratalink Layer Architecture in One Line Per Layer</w:t>
            </w:r>
          </w:p>
          <w:p>
            <w:pPr>
              <w:spacing w:after="100" w:before="100"/>
            </w:pPr>
          </w:p>
          <w:p>
            <w:pPr>
              <w:spacing w:after="60" w:before="60"/>
              <w:jc w:val="left"/>
            </w:pPr>
            <w:r>
              <w:rPr>
                <w:rFonts w:ascii="Calibri" w:cs="Calibri" w:eastAsia="Calibri" w:hAnsi="Calibri"/>
                <w:b/>
                <w:bCs/>
                <w:color w:val="1A7A8A"/>
                <w:sz w:val="20"/>
                <w:szCs w:val="20"/>
              </w:rPr>
              <w:t xml:space="preserve">DACT</w:t>
            </w:r>
            <w:r>
              <w:rPr>
                <w:rFonts w:ascii="Calibri" w:cs="Calibri" w:eastAsia="Calibri" w:hAnsi="Calibri"/>
                <w:color w:val="1A1A2E"/>
                <w:sz w:val="20"/>
                <w:szCs w:val="20"/>
              </w:rPr>
              <w:t xml:space="preserve"> records what happened.</w:t>
            </w:r>
          </w:p>
          <w:p>
            <w:pPr>
              <w:spacing w:after="60" w:before="60"/>
              <w:jc w:val="left"/>
            </w:pPr>
            <w:r>
              <w:rPr>
                <w:rFonts w:ascii="Calibri" w:cs="Calibri" w:eastAsia="Calibri" w:hAnsi="Calibri"/>
                <w:b/>
                <w:bCs/>
                <w:color w:val="1A7A8A"/>
                <w:sz w:val="20"/>
                <w:szCs w:val="20"/>
              </w:rPr>
              <w:t xml:space="preserve">STRATA® AI</w:t>
            </w:r>
            <w:r>
              <w:rPr>
                <w:rFonts w:ascii="Calibri" w:cs="Calibri" w:eastAsia="Calibri" w:hAnsi="Calibri"/>
                <w:color w:val="1A1A2E"/>
                <w:sz w:val="20"/>
                <w:szCs w:val="20"/>
              </w:rPr>
              <w:t xml:space="preserve"> evaluates what it means.</w:t>
            </w:r>
          </w:p>
          <w:p>
            <w:pPr>
              <w:spacing w:after="60" w:before="60"/>
              <w:jc w:val="left"/>
            </w:pPr>
            <w:r>
              <w:rPr>
                <w:rFonts w:ascii="Calibri" w:cs="Calibri" w:eastAsia="Calibri" w:hAnsi="Calibri"/>
                <w:b/>
                <w:bCs/>
                <w:color w:val="1A7A8A"/>
                <w:sz w:val="20"/>
                <w:szCs w:val="20"/>
              </w:rPr>
              <w:t xml:space="preserve">PoLi™</w:t>
            </w:r>
            <w:r>
              <w:rPr>
                <w:rFonts w:ascii="Calibri" w:cs="Calibri" w:eastAsia="Calibri" w:hAnsi="Calibri"/>
                <w:color w:val="1A1A2E"/>
                <w:sz w:val="20"/>
                <w:szCs w:val="20"/>
              </w:rPr>
              <w:t xml:space="preserve"> attests whether trading was possible.</w:t>
            </w:r>
          </w:p>
          <w:p>
            <w:pPr>
              <w:spacing w:after="50" w:before="50"/>
            </w:pPr>
          </w:p>
          <w:p>
            <w:pPr>
              <w:spacing w:after="60" w:before="60"/>
              <w:jc w:val="left"/>
            </w:pPr>
            <w:r>
              <w:rPr>
                <w:rFonts w:ascii="Calibri" w:cs="Calibri" w:eastAsia="Calibri" w:hAnsi="Calibri"/>
                <w:i/>
                <w:iCs/>
                <w:color w:val="6B7280"/>
                <w:sz w:val="19"/>
                <w:szCs w:val="19"/>
              </w:rPr>
              <w:t xml:space="preserve">DACT’s value as a trust infrastructure derives from its constraints as much as its capabilities. What DACT does not do — score, interpret, weight, or infer — is the foundation on which PoLi™ attestation and STRATA® AI intelligence derive their epistemic authority.</w:t>
            </w:r>
          </w:p>
        </w:tc>
      </w:tr>
    </w:tbl>
    <w:p>
      <w:pPr>
        <w:spacing w:after="200" w:before="200"/>
      </w:pPr>
    </w:p>
    <w:p>
      <w:r>
        <w:br w:type="page"/>
      </w:r>
    </w:p>
    <w:p>
      <w:pPr>
        <w:pStyle w:val="Heading1"/>
        <w:pBdr>
          <w:bottom w:val="single" w:color="1B4F8A" w:sz="8" w:space="2"/>
        </w:pBdr>
        <w:spacing w:after="120" w:before="280"/>
      </w:pPr>
      <w:r>
        <w:rPr>
          <w:rFonts w:ascii="Calibri" w:cs="Calibri" w:eastAsia="Calibri" w:hAnsi="Calibri"/>
          <w:b/>
          <w:bCs/>
          <w:color w:val="0D1E3A"/>
          <w:sz w:val="28"/>
          <w:szCs w:val="28"/>
        </w:rPr>
        <w:t xml:space="preserve">Annex A — Regulatory Mapping (Informative)</w:t>
      </w:r>
    </w:p>
    <w:p>
      <w:pPr>
        <w:spacing w:after="60" w:before="80"/>
        <w:jc w:val="left"/>
      </w:pPr>
      <w:r>
        <w:rPr>
          <w:rFonts w:ascii="Calibri" w:cs="Calibri" w:eastAsia="Calibri" w:hAnsi="Calibri"/>
          <w:color w:val="000000"/>
          <w:sz w:val="20"/>
          <w:szCs w:val="20"/>
        </w:rPr>
        <w:t xml:space="preserve">This annex provides non-binding mappings between DACT outputs and regulatory supervisory objectives. It does not introduce additional conformance requirements.</w:t>
      </w:r>
    </w:p>
    <w:p>
      <w:pPr>
        <w:spacing w:after="100" w:before="100"/>
      </w:pPr>
    </w:p>
    <w:p>
      <w:pPr>
        <w:pStyle w:val="Heading2"/>
        <w:spacing w:after="80" w:before="220"/>
      </w:pPr>
      <w:r>
        <w:rPr>
          <w:rFonts w:ascii="Calibri" w:cs="Calibri" w:eastAsia="Calibri" w:hAnsi="Calibri"/>
          <w:b/>
          <w:bCs/>
          <w:color w:val="1B4F8A"/>
          <w:sz w:val="24"/>
          <w:szCs w:val="24"/>
        </w:rPr>
        <w:t xml:space="preserve">A.1 FCA — Market Integrity &amp; Electronic Record-Keeping</w:t>
      </w:r>
    </w:p>
    <w:p>
      <w:pPr>
        <w:spacing w:after="50" w:before="5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6546"/>
      </w:tblGrid>
      <w:tr>
        <w:tc>
          <w:tcPr>
            <w:tcW w:type="dxa" w:w="3200"/>
            <w:tcBorders>
              <w:top w:val="single" w:color="0D1E3A" w:sz="4"/>
              <w:left w:val="single" w:color="0D1E3A" w:sz="4"/>
              <w:bottom w:val="single" w:color="0D1E3A" w:sz="4"/>
              <w:right w:val="single" w:color="0D1E3A" w:sz="4"/>
            </w:tcBorders>
            <w:shd w:fill="0D1E3A" w:val="clear"/>
            <w:tcMar>
              <w:top w:type="dxa" w:w="100"/>
              <w:left w:type="dxa" w:w="120"/>
              <w:bottom w:type="dxa" w:w="100"/>
              <w:right w:type="dxa" w:w="120"/>
            </w:tcMar>
            <w:vAlign w:val="top"/>
          </w:tcPr>
          <w:p>
            <w:pPr>
              <w:spacing w:after="60" w:before="60"/>
              <w:jc w:val="left"/>
            </w:pPr>
            <w:r>
              <w:rPr>
                <w:rFonts w:ascii="Calibri" w:cs="Calibri" w:eastAsia="Calibri" w:hAnsi="Calibri"/>
                <w:b/>
                <w:bCs/>
                <w:color w:val="FFFFFF"/>
                <w:sz w:val="18"/>
                <w:szCs w:val="18"/>
              </w:rPr>
              <w:t xml:space="preserve">FCA Supervisory Objective</w:t>
            </w:r>
          </w:p>
        </w:tc>
        <w:tc>
          <w:tcPr>
            <w:tcW w:type="dxa" w:w="6546"/>
            <w:tcBorders>
              <w:top w:val="single" w:color="0D1E3A" w:sz="4"/>
              <w:left w:val="single" w:color="0D1E3A" w:sz="4"/>
              <w:bottom w:val="single" w:color="0D1E3A" w:sz="4"/>
              <w:right w:val="single" w:color="0D1E3A" w:sz="4"/>
            </w:tcBorders>
            <w:shd w:fill="0D1E3A" w:val="clear"/>
            <w:tcMar>
              <w:top w:type="dxa" w:w="100"/>
              <w:left w:type="dxa" w:w="120"/>
              <w:bottom w:type="dxa" w:w="100"/>
              <w:right w:type="dxa" w:w="120"/>
            </w:tcMar>
            <w:vAlign w:val="top"/>
          </w:tcPr>
          <w:p>
            <w:pPr>
              <w:spacing w:after="60" w:before="60"/>
              <w:jc w:val="left"/>
            </w:pPr>
            <w:r>
              <w:rPr>
                <w:rFonts w:ascii="Calibri" w:cs="Calibri" w:eastAsia="Calibri" w:hAnsi="Calibri"/>
                <w:b/>
                <w:bCs/>
                <w:color w:val="FFFFFF"/>
                <w:sz w:val="18"/>
                <w:szCs w:val="18"/>
              </w:rPr>
              <w:t xml:space="preserve">DACT Contribution</w:t>
            </w:r>
          </w:p>
        </w:tc>
      </w:tr>
      <w:tr>
        <w:tc>
          <w:tcPr>
            <w:tcW w:type="dxa" w:w="3200"/>
            <w:tcBorders>
              <w:top w:val="single" w:color="D0D4DC" w:sz="4"/>
              <w:left w:val="single" w:color="D0D4DC" w:sz="4"/>
              <w:bottom w:val="single" w:color="D0D4DC" w:sz="4"/>
              <w:right w:val="single" w:color="D0D4DC" w:sz="4"/>
            </w:tcBorders>
            <w:shd w:fill="EEF2F8" w:val="clear"/>
            <w:tcMar>
              <w:top w:type="dxa" w:w="100"/>
              <w:left w:type="dxa" w:w="120"/>
              <w:bottom w:type="dxa" w:w="100"/>
              <w:right w:type="dxa" w:w="120"/>
            </w:tcMar>
            <w:vAlign w:val="top"/>
          </w:tcPr>
          <w:p>
            <w:pPr>
              <w:spacing w:after="60" w:before="60"/>
              <w:jc w:val="left"/>
            </w:pPr>
            <w:r>
              <w:rPr>
                <w:rFonts w:ascii="Calibri" w:cs="Calibri" w:eastAsia="Calibri" w:hAnsi="Calibri"/>
                <w:b/>
                <w:bCs/>
                <w:color w:val="0D1E3A"/>
                <w:sz w:val="19"/>
                <w:szCs w:val="19"/>
              </w:rPr>
              <w:t xml:space="preserve">Orderly trading conditions</w:t>
            </w:r>
          </w:p>
        </w:tc>
        <w:tc>
          <w:tcPr>
            <w:tcW w:type="dxa" w:w="6546"/>
            <w:tcBorders>
              <w:top w:val="single" w:color="D0D4DC" w:sz="4"/>
              <w:left w:val="single" w:color="D0D4DC" w:sz="4"/>
              <w:bottom w:val="single" w:color="D0D4DC" w:sz="4"/>
              <w:right w:val="single" w:color="D0D4DC" w:sz="4"/>
            </w:tcBorders>
            <w:shd w:fill="F2F4F7" w:val="clear"/>
            <w:tcMar>
              <w:top w:type="dxa" w:w="100"/>
              <w:left w:type="dxa" w:w="120"/>
              <w:bottom w:type="dxa" w:w="100"/>
              <w:right w:type="dxa" w:w="120"/>
            </w:tcMar>
            <w:vAlign w:val="top"/>
          </w:tcPr>
          <w:p>
            <w:pPr>
              <w:spacing w:after="60" w:before="60"/>
              <w:jc w:val="left"/>
            </w:pPr>
            <w:r>
              <w:rPr>
                <w:rFonts w:ascii="Calibri" w:cs="Calibri" w:eastAsia="Calibri" w:hAnsi="Calibri"/>
                <w:color w:val="000000"/>
                <w:sz w:val="19"/>
                <w:szCs w:val="19"/>
              </w:rPr>
              <w:t xml:space="preserve">Continuous multi-venue depth and spread record from DEPTH_UPDATE and BBO_UPDATE events</w:t>
            </w:r>
          </w:p>
        </w:tc>
      </w:tr>
      <w:tr>
        <w:tc>
          <w:tcPr>
            <w:tcW w:type="dxa" w:w="3200"/>
            <w:tcBorders>
              <w:top w:val="single" w:color="D0D4DC" w:sz="4"/>
              <w:left w:val="single" w:color="D0D4DC" w:sz="4"/>
              <w:bottom w:val="single" w:color="D0D4DC" w:sz="4"/>
              <w:right w:val="single" w:color="D0D4DC" w:sz="4"/>
            </w:tcBorders>
            <w:shd w:fill="FFFFFF" w:val="clear"/>
            <w:tcMar>
              <w:top w:type="dxa" w:w="100"/>
              <w:left w:type="dxa" w:w="120"/>
              <w:bottom w:type="dxa" w:w="100"/>
              <w:right w:type="dxa" w:w="120"/>
            </w:tcMar>
            <w:vAlign w:val="top"/>
          </w:tcPr>
          <w:p>
            <w:pPr>
              <w:spacing w:after="60" w:before="60"/>
              <w:jc w:val="left"/>
            </w:pPr>
            <w:r>
              <w:rPr>
                <w:rFonts w:ascii="Calibri" w:cs="Calibri" w:eastAsia="Calibri" w:hAnsi="Calibri"/>
                <w:b/>
                <w:bCs/>
                <w:color w:val="0D1E3A"/>
                <w:sz w:val="19"/>
                <w:szCs w:val="19"/>
              </w:rPr>
              <w:t xml:space="preserve">Best execution oversight</w:t>
            </w:r>
          </w:p>
        </w:tc>
        <w:tc>
          <w:tcPr>
            <w:tcW w:type="dxa" w:w="6546"/>
            <w:tcBorders>
              <w:top w:val="single" w:color="D0D4DC" w:sz="4"/>
              <w:left w:val="single" w:color="D0D4DC" w:sz="4"/>
              <w:bottom w:val="single" w:color="D0D4DC" w:sz="4"/>
              <w:right w:val="single" w:color="D0D4DC" w:sz="4"/>
            </w:tcBorders>
            <w:shd w:fill="FFFFFF" w:val="clear"/>
            <w:tcMar>
              <w:top w:type="dxa" w:w="100"/>
              <w:left w:type="dxa" w:w="120"/>
              <w:bottom w:type="dxa" w:w="100"/>
              <w:right w:type="dxa" w:w="120"/>
            </w:tcMar>
            <w:vAlign w:val="top"/>
          </w:tcPr>
          <w:p>
            <w:pPr>
              <w:spacing w:after="60" w:before="60"/>
              <w:jc w:val="left"/>
            </w:pPr>
            <w:r>
              <w:rPr>
                <w:rFonts w:ascii="Calibri" w:cs="Calibri" w:eastAsia="Calibri" w:hAnsi="Calibri"/>
                <w:color w:val="000000"/>
                <w:sz w:val="19"/>
                <w:szCs w:val="19"/>
              </w:rPr>
              <w:t xml:space="preserve">Immutable TRADE events with full venue attribution and microsecond timestamps</w:t>
            </w:r>
          </w:p>
        </w:tc>
      </w:tr>
      <w:tr>
        <w:tc>
          <w:tcPr>
            <w:tcW w:type="dxa" w:w="3200"/>
            <w:tcBorders>
              <w:top w:val="single" w:color="D0D4DC" w:sz="4"/>
              <w:left w:val="single" w:color="D0D4DC" w:sz="4"/>
              <w:bottom w:val="single" w:color="D0D4DC" w:sz="4"/>
              <w:right w:val="single" w:color="D0D4DC" w:sz="4"/>
            </w:tcBorders>
            <w:shd w:fill="EEF2F8" w:val="clear"/>
            <w:tcMar>
              <w:top w:type="dxa" w:w="100"/>
              <w:left w:type="dxa" w:w="120"/>
              <w:bottom w:type="dxa" w:w="100"/>
              <w:right w:type="dxa" w:w="120"/>
            </w:tcMar>
            <w:vAlign w:val="top"/>
          </w:tcPr>
          <w:p>
            <w:pPr>
              <w:spacing w:after="60" w:before="60"/>
              <w:jc w:val="left"/>
            </w:pPr>
            <w:r>
              <w:rPr>
                <w:rFonts w:ascii="Calibri" w:cs="Calibri" w:eastAsia="Calibri" w:hAnsi="Calibri"/>
                <w:b/>
                <w:bCs/>
                <w:color w:val="0D1E3A"/>
                <w:sz w:val="19"/>
                <w:szCs w:val="19"/>
              </w:rPr>
              <w:t xml:space="preserve">Market manipulation review</w:t>
            </w:r>
          </w:p>
        </w:tc>
        <w:tc>
          <w:tcPr>
            <w:tcW w:type="dxa" w:w="6546"/>
            <w:tcBorders>
              <w:top w:val="single" w:color="D0D4DC" w:sz="4"/>
              <w:left w:val="single" w:color="D0D4DC" w:sz="4"/>
              <w:bottom w:val="single" w:color="D0D4DC" w:sz="4"/>
              <w:right w:val="single" w:color="D0D4DC" w:sz="4"/>
            </w:tcBorders>
            <w:shd w:fill="F2F4F7" w:val="clear"/>
            <w:tcMar>
              <w:top w:type="dxa" w:w="100"/>
              <w:left w:type="dxa" w:w="120"/>
              <w:bottom w:type="dxa" w:w="100"/>
              <w:right w:type="dxa" w:w="120"/>
            </w:tcMar>
            <w:vAlign w:val="top"/>
          </w:tcPr>
          <w:p>
            <w:pPr>
              <w:spacing w:after="60" w:before="60"/>
              <w:jc w:val="left"/>
            </w:pPr>
            <w:r>
              <w:rPr>
                <w:rFonts w:ascii="Calibri" w:cs="Calibri" w:eastAsia="Calibri" w:hAnsi="Calibri"/>
                <w:color w:val="000000"/>
                <w:sz w:val="19"/>
                <w:szCs w:val="19"/>
              </w:rPr>
              <w:t xml:space="preserve">Append-only tape enables deterministic forensic replay for investigation</w:t>
            </w:r>
          </w:p>
        </w:tc>
      </w:tr>
      <w:tr>
        <w:tc>
          <w:tcPr>
            <w:tcW w:type="dxa" w:w="3200"/>
            <w:tcBorders>
              <w:top w:val="single" w:color="D0D4DC" w:sz="4"/>
              <w:left w:val="single" w:color="D0D4DC" w:sz="4"/>
              <w:bottom w:val="single" w:color="D0D4DC" w:sz="4"/>
              <w:right w:val="single" w:color="D0D4DC" w:sz="4"/>
            </w:tcBorders>
            <w:shd w:fill="FFFFFF" w:val="clear"/>
            <w:tcMar>
              <w:top w:type="dxa" w:w="100"/>
              <w:left w:type="dxa" w:w="120"/>
              <w:bottom w:type="dxa" w:w="100"/>
              <w:right w:type="dxa" w:w="120"/>
            </w:tcMar>
            <w:vAlign w:val="top"/>
          </w:tcPr>
          <w:p>
            <w:pPr>
              <w:spacing w:after="60" w:before="60"/>
              <w:jc w:val="left"/>
            </w:pPr>
            <w:r>
              <w:rPr>
                <w:rFonts w:ascii="Calibri" w:cs="Calibri" w:eastAsia="Calibri" w:hAnsi="Calibri"/>
                <w:b/>
                <w:bCs/>
                <w:color w:val="0D1E3A"/>
                <w:sz w:val="19"/>
                <w:szCs w:val="19"/>
              </w:rPr>
              <w:t xml:space="preserve">Electronic audit trail (COBS)</w:t>
            </w:r>
          </w:p>
        </w:tc>
        <w:tc>
          <w:tcPr>
            <w:tcW w:type="dxa" w:w="6546"/>
            <w:tcBorders>
              <w:top w:val="single" w:color="D0D4DC" w:sz="4"/>
              <w:left w:val="single" w:color="D0D4DC" w:sz="4"/>
              <w:bottom w:val="single" w:color="D0D4DC" w:sz="4"/>
              <w:right w:val="single" w:color="D0D4DC" w:sz="4"/>
            </w:tcBorders>
            <w:shd w:fill="FFFFFF" w:val="clear"/>
            <w:tcMar>
              <w:top w:type="dxa" w:w="100"/>
              <w:left w:type="dxa" w:w="120"/>
              <w:bottom w:type="dxa" w:w="100"/>
              <w:right w:type="dxa" w:w="120"/>
            </w:tcMar>
            <w:vAlign w:val="top"/>
          </w:tcPr>
          <w:p>
            <w:pPr>
              <w:spacing w:after="60" w:before="60"/>
              <w:jc w:val="left"/>
            </w:pPr>
            <w:r>
              <w:rPr>
                <w:rFonts w:ascii="Calibri" w:cs="Calibri" w:eastAsia="Calibri" w:hAnsi="Calibri"/>
                <w:color w:val="000000"/>
                <w:sz w:val="19"/>
                <w:szCs w:val="19"/>
              </w:rPr>
              <w:t xml:space="preserve">Microsecond-precision, immutable event record with provenance satisfying FCA record-keeping requirements</w:t>
            </w:r>
          </w:p>
        </w:tc>
      </w:tr>
      <w:tr>
        <w:tc>
          <w:tcPr>
            <w:tcW w:type="dxa" w:w="3200"/>
            <w:tcBorders>
              <w:top w:val="single" w:color="D0D4DC" w:sz="4"/>
              <w:left w:val="single" w:color="D0D4DC" w:sz="4"/>
              <w:bottom w:val="single" w:color="D0D4DC" w:sz="4"/>
              <w:right w:val="single" w:color="D0D4DC" w:sz="4"/>
            </w:tcBorders>
            <w:shd w:fill="EEF2F8" w:val="clear"/>
            <w:tcMar>
              <w:top w:type="dxa" w:w="100"/>
              <w:left w:type="dxa" w:w="120"/>
              <w:bottom w:type="dxa" w:w="100"/>
              <w:right w:type="dxa" w:w="120"/>
            </w:tcMar>
            <w:vAlign w:val="top"/>
          </w:tcPr>
          <w:p>
            <w:pPr>
              <w:spacing w:after="60" w:before="60"/>
              <w:jc w:val="left"/>
            </w:pPr>
            <w:r>
              <w:rPr>
                <w:rFonts w:ascii="Calibri" w:cs="Calibri" w:eastAsia="Calibri" w:hAnsi="Calibri"/>
                <w:b/>
                <w:bCs/>
                <w:color w:val="0D1E3A"/>
                <w:sz w:val="19"/>
                <w:szCs w:val="19"/>
              </w:rPr>
              <w:t xml:space="preserve">Venue connectivity monitoring</w:t>
            </w:r>
          </w:p>
        </w:tc>
        <w:tc>
          <w:tcPr>
            <w:tcW w:type="dxa" w:w="6546"/>
            <w:tcBorders>
              <w:top w:val="single" w:color="D0D4DC" w:sz="4"/>
              <w:left w:val="single" w:color="D0D4DC" w:sz="4"/>
              <w:bottom w:val="single" w:color="D0D4DC" w:sz="4"/>
              <w:right w:val="single" w:color="D0D4DC" w:sz="4"/>
            </w:tcBorders>
            <w:shd w:fill="F2F4F7" w:val="clear"/>
            <w:tcMar>
              <w:top w:type="dxa" w:w="100"/>
              <w:left w:type="dxa" w:w="120"/>
              <w:bottom w:type="dxa" w:w="100"/>
              <w:right w:type="dxa" w:w="120"/>
            </w:tcMar>
            <w:vAlign w:val="top"/>
          </w:tcPr>
          <w:p>
            <w:pPr>
              <w:spacing w:after="60" w:before="60"/>
              <w:jc w:val="left"/>
            </w:pPr>
            <w:r>
              <w:rPr>
                <w:rFonts w:ascii="Calibri" w:cs="Calibri" w:eastAsia="Calibri" w:hAnsi="Calibri"/>
                <w:color w:val="000000"/>
                <w:sz w:val="19"/>
                <w:szCs w:val="19"/>
              </w:rPr>
              <w:t xml:space="preserve">VENUE_STATUS events provide continuous infrastructure health record</w:t>
            </w:r>
          </w:p>
        </w:tc>
      </w:tr>
    </w:tbl>
    <w:p>
      <w:pPr>
        <w:spacing w:after="100" w:before="100"/>
      </w:pPr>
    </w:p>
    <w:p>
      <w:pPr>
        <w:pStyle w:val="Heading2"/>
        <w:spacing w:after="80" w:before="220"/>
      </w:pPr>
      <w:r>
        <w:rPr>
          <w:rFonts w:ascii="Calibri" w:cs="Calibri" w:eastAsia="Calibri" w:hAnsi="Calibri"/>
          <w:b/>
          <w:bCs/>
          <w:color w:val="1B4F8A"/>
          <w:sz w:val="24"/>
          <w:szCs w:val="24"/>
        </w:rPr>
        <w:t xml:space="preserve">A.2 ADGM FSRA — Digital Market Infrastructure Supervision</w:t>
      </w:r>
    </w:p>
    <w:p>
      <w:pPr>
        <w:spacing w:after="50" w:before="5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6546"/>
      </w:tblGrid>
      <w:tr>
        <w:tc>
          <w:tcPr>
            <w:tcW w:type="dxa" w:w="3200"/>
            <w:tcBorders>
              <w:top w:val="single" w:color="0D1E3A" w:sz="4"/>
              <w:left w:val="single" w:color="0D1E3A" w:sz="4"/>
              <w:bottom w:val="single" w:color="0D1E3A" w:sz="4"/>
              <w:right w:val="single" w:color="0D1E3A" w:sz="4"/>
            </w:tcBorders>
            <w:shd w:fill="0D1E3A" w:val="clear"/>
            <w:tcMar>
              <w:top w:type="dxa" w:w="100"/>
              <w:left w:type="dxa" w:w="120"/>
              <w:bottom w:type="dxa" w:w="100"/>
              <w:right w:type="dxa" w:w="120"/>
            </w:tcMar>
            <w:vAlign w:val="top"/>
          </w:tcPr>
          <w:p>
            <w:pPr>
              <w:spacing w:after="60" w:before="60"/>
              <w:jc w:val="left"/>
            </w:pPr>
            <w:r>
              <w:rPr>
                <w:rFonts w:ascii="Calibri" w:cs="Calibri" w:eastAsia="Calibri" w:hAnsi="Calibri"/>
                <w:b/>
                <w:bCs/>
                <w:color w:val="FFFFFF"/>
                <w:sz w:val="18"/>
                <w:szCs w:val="18"/>
              </w:rPr>
              <w:t xml:space="preserve">FSRA Focus Area</w:t>
            </w:r>
          </w:p>
        </w:tc>
        <w:tc>
          <w:tcPr>
            <w:tcW w:type="dxa" w:w="6546"/>
            <w:tcBorders>
              <w:top w:val="single" w:color="0D1E3A" w:sz="4"/>
              <w:left w:val="single" w:color="0D1E3A" w:sz="4"/>
              <w:bottom w:val="single" w:color="0D1E3A" w:sz="4"/>
              <w:right w:val="single" w:color="0D1E3A" w:sz="4"/>
            </w:tcBorders>
            <w:shd w:fill="0D1E3A" w:val="clear"/>
            <w:tcMar>
              <w:top w:type="dxa" w:w="100"/>
              <w:left w:type="dxa" w:w="120"/>
              <w:bottom w:type="dxa" w:w="100"/>
              <w:right w:type="dxa" w:w="120"/>
            </w:tcMar>
            <w:vAlign w:val="top"/>
          </w:tcPr>
          <w:p>
            <w:pPr>
              <w:spacing w:after="60" w:before="60"/>
              <w:jc w:val="left"/>
            </w:pPr>
            <w:r>
              <w:rPr>
                <w:rFonts w:ascii="Calibri" w:cs="Calibri" w:eastAsia="Calibri" w:hAnsi="Calibri"/>
                <w:b/>
                <w:bCs/>
                <w:color w:val="FFFFFF"/>
                <w:sz w:val="18"/>
                <w:szCs w:val="18"/>
              </w:rPr>
              <w:t xml:space="preserve">DACT Contribution</w:t>
            </w:r>
          </w:p>
        </w:tc>
      </w:tr>
      <w:tr>
        <w:tc>
          <w:tcPr>
            <w:tcW w:type="dxa" w:w="3200"/>
            <w:tcBorders>
              <w:top w:val="single" w:color="D0D4DC" w:sz="4"/>
              <w:left w:val="single" w:color="D0D4DC" w:sz="4"/>
              <w:bottom w:val="single" w:color="D0D4DC" w:sz="4"/>
              <w:right w:val="single" w:color="D0D4DC" w:sz="4"/>
            </w:tcBorders>
            <w:shd w:fill="EEF2F8" w:val="clear"/>
            <w:tcMar>
              <w:top w:type="dxa" w:w="100"/>
              <w:left w:type="dxa" w:w="120"/>
              <w:bottom w:type="dxa" w:w="100"/>
              <w:right w:type="dxa" w:w="120"/>
            </w:tcMar>
            <w:vAlign w:val="top"/>
          </w:tcPr>
          <w:p>
            <w:pPr>
              <w:spacing w:after="60" w:before="60"/>
              <w:jc w:val="left"/>
            </w:pPr>
            <w:r>
              <w:rPr>
                <w:rFonts w:ascii="Calibri" w:cs="Calibri" w:eastAsia="Calibri" w:hAnsi="Calibri"/>
                <w:b/>
                <w:bCs/>
                <w:color w:val="0D1E3A"/>
                <w:sz w:val="19"/>
                <w:szCs w:val="19"/>
              </w:rPr>
              <w:t xml:space="preserve">Infrastructure resilience</w:t>
            </w:r>
          </w:p>
        </w:tc>
        <w:tc>
          <w:tcPr>
            <w:tcW w:type="dxa" w:w="6546"/>
            <w:tcBorders>
              <w:top w:val="single" w:color="D0D4DC" w:sz="4"/>
              <w:left w:val="single" w:color="D0D4DC" w:sz="4"/>
              <w:bottom w:val="single" w:color="D0D4DC" w:sz="4"/>
              <w:right w:val="single" w:color="D0D4DC" w:sz="4"/>
            </w:tcBorders>
            <w:shd w:fill="F2F4F7" w:val="clear"/>
            <w:tcMar>
              <w:top w:type="dxa" w:w="100"/>
              <w:left w:type="dxa" w:w="120"/>
              <w:bottom w:type="dxa" w:w="100"/>
              <w:right w:type="dxa" w:w="120"/>
            </w:tcMar>
            <w:vAlign w:val="top"/>
          </w:tcPr>
          <w:p>
            <w:pPr>
              <w:spacing w:after="60" w:before="60"/>
              <w:jc w:val="left"/>
            </w:pPr>
            <w:r>
              <w:rPr>
                <w:rFonts w:ascii="Calibri" w:cs="Calibri" w:eastAsia="Calibri" w:hAnsi="Calibri"/>
                <w:color w:val="000000"/>
                <w:sz w:val="19"/>
                <w:szCs w:val="19"/>
              </w:rPr>
              <w:t xml:space="preserve">VENUE_STATUS events provide real-time and historical connectivity record across DSU venues</w:t>
            </w:r>
          </w:p>
        </w:tc>
      </w:tr>
      <w:tr>
        <w:tc>
          <w:tcPr>
            <w:tcW w:type="dxa" w:w="3200"/>
            <w:tcBorders>
              <w:top w:val="single" w:color="D0D4DC" w:sz="4"/>
              <w:left w:val="single" w:color="D0D4DC" w:sz="4"/>
              <w:bottom w:val="single" w:color="D0D4DC" w:sz="4"/>
              <w:right w:val="single" w:color="D0D4DC" w:sz="4"/>
            </w:tcBorders>
            <w:shd w:fill="FFFFFF" w:val="clear"/>
            <w:tcMar>
              <w:top w:type="dxa" w:w="100"/>
              <w:left w:type="dxa" w:w="120"/>
              <w:bottom w:type="dxa" w:w="100"/>
              <w:right w:type="dxa" w:w="120"/>
            </w:tcMar>
            <w:vAlign w:val="top"/>
          </w:tcPr>
          <w:p>
            <w:pPr>
              <w:spacing w:after="60" w:before="60"/>
              <w:jc w:val="left"/>
            </w:pPr>
            <w:r>
              <w:rPr>
                <w:rFonts w:ascii="Calibri" w:cs="Calibri" w:eastAsia="Calibri" w:hAnsi="Calibri"/>
                <w:b/>
                <w:bCs/>
                <w:color w:val="0D1E3A"/>
                <w:sz w:val="19"/>
                <w:szCs w:val="19"/>
              </w:rPr>
              <w:t xml:space="preserve">Market monitoring</w:t>
            </w:r>
          </w:p>
        </w:tc>
        <w:tc>
          <w:tcPr>
            <w:tcW w:type="dxa" w:w="6546"/>
            <w:tcBorders>
              <w:top w:val="single" w:color="D0D4DC" w:sz="4"/>
              <w:left w:val="single" w:color="D0D4DC" w:sz="4"/>
              <w:bottom w:val="single" w:color="D0D4DC" w:sz="4"/>
              <w:right w:val="single" w:color="D0D4DC" w:sz="4"/>
            </w:tcBorders>
            <w:shd w:fill="FFFFFF" w:val="clear"/>
            <w:tcMar>
              <w:top w:type="dxa" w:w="100"/>
              <w:left w:type="dxa" w:w="120"/>
              <w:bottom w:type="dxa" w:w="100"/>
              <w:right w:type="dxa" w:w="120"/>
            </w:tcMar>
            <w:vAlign w:val="top"/>
          </w:tcPr>
          <w:p>
            <w:pPr>
              <w:spacing w:after="60" w:before="60"/>
              <w:jc w:val="left"/>
            </w:pPr>
            <w:r>
              <w:rPr>
                <w:rFonts w:ascii="Calibri" w:cs="Calibri" w:eastAsia="Calibri" w:hAnsi="Calibri"/>
                <w:color w:val="000000"/>
                <w:sz w:val="19"/>
                <w:szCs w:val="19"/>
              </w:rPr>
              <w:t xml:space="preserve">Deterministic replay enables supervisors to reconstruct market state at any historical point</w:t>
            </w:r>
          </w:p>
        </w:tc>
      </w:tr>
      <w:tr>
        <w:tc>
          <w:tcPr>
            <w:tcW w:type="dxa" w:w="3200"/>
            <w:tcBorders>
              <w:top w:val="single" w:color="D0D4DC" w:sz="4"/>
              <w:left w:val="single" w:color="D0D4DC" w:sz="4"/>
              <w:bottom w:val="single" w:color="D0D4DC" w:sz="4"/>
              <w:right w:val="single" w:color="D0D4DC" w:sz="4"/>
            </w:tcBorders>
            <w:shd w:fill="EEF2F8" w:val="clear"/>
            <w:tcMar>
              <w:top w:type="dxa" w:w="100"/>
              <w:left w:type="dxa" w:w="120"/>
              <w:bottom w:type="dxa" w:w="100"/>
              <w:right w:type="dxa" w:w="120"/>
            </w:tcMar>
            <w:vAlign w:val="top"/>
          </w:tcPr>
          <w:p>
            <w:pPr>
              <w:spacing w:after="60" w:before="60"/>
              <w:jc w:val="left"/>
            </w:pPr>
            <w:r>
              <w:rPr>
                <w:rFonts w:ascii="Calibri" w:cs="Calibri" w:eastAsia="Calibri" w:hAnsi="Calibri"/>
                <w:b/>
                <w:bCs/>
                <w:color w:val="0D1E3A"/>
                <w:sz w:val="19"/>
                <w:szCs w:val="19"/>
              </w:rPr>
              <w:t xml:space="preserve">Pilot / sandbox supervision</w:t>
            </w:r>
          </w:p>
        </w:tc>
        <w:tc>
          <w:tcPr>
            <w:tcW w:type="dxa" w:w="6546"/>
            <w:tcBorders>
              <w:top w:val="single" w:color="D0D4DC" w:sz="4"/>
              <w:left w:val="single" w:color="D0D4DC" w:sz="4"/>
              <w:bottom w:val="single" w:color="D0D4DC" w:sz="4"/>
              <w:right w:val="single" w:color="D0D4DC" w:sz="4"/>
            </w:tcBorders>
            <w:shd w:fill="F2F4F7" w:val="clear"/>
            <w:tcMar>
              <w:top w:type="dxa" w:w="100"/>
              <w:left w:type="dxa" w:w="120"/>
              <w:bottom w:type="dxa" w:w="100"/>
              <w:right w:type="dxa" w:w="120"/>
            </w:tcMar>
            <w:vAlign w:val="top"/>
          </w:tcPr>
          <w:p>
            <w:pPr>
              <w:spacing w:after="60" w:before="60"/>
              <w:jc w:val="left"/>
            </w:pPr>
            <w:r>
              <w:rPr>
                <w:rFonts w:ascii="Calibri" w:cs="Calibri" w:eastAsia="Calibri" w:hAnsi="Calibri"/>
                <w:color w:val="000000"/>
                <w:sz w:val="19"/>
                <w:szCs w:val="19"/>
              </w:rPr>
              <w:t xml:space="preserve">DSU-scoped views provide well-defined, version-controlled data perimeters for sandbox environments</w:t>
            </w:r>
          </w:p>
        </w:tc>
      </w:tr>
      <w:tr>
        <w:tc>
          <w:tcPr>
            <w:tcW w:type="dxa" w:w="3200"/>
            <w:tcBorders>
              <w:top w:val="single" w:color="D0D4DC" w:sz="4"/>
              <w:left w:val="single" w:color="D0D4DC" w:sz="4"/>
              <w:bottom w:val="single" w:color="D0D4DC" w:sz="4"/>
              <w:right w:val="single" w:color="D0D4DC" w:sz="4"/>
            </w:tcBorders>
            <w:shd w:fill="FFFFFF" w:val="clear"/>
            <w:tcMar>
              <w:top w:type="dxa" w:w="100"/>
              <w:left w:type="dxa" w:w="120"/>
              <w:bottom w:type="dxa" w:w="100"/>
              <w:right w:type="dxa" w:w="120"/>
            </w:tcMar>
            <w:vAlign w:val="top"/>
          </w:tcPr>
          <w:p>
            <w:pPr>
              <w:spacing w:after="60" w:before="60"/>
              <w:jc w:val="left"/>
            </w:pPr>
            <w:r>
              <w:rPr>
                <w:rFonts w:ascii="Calibri" w:cs="Calibri" w:eastAsia="Calibri" w:hAnsi="Calibri"/>
                <w:b/>
                <w:bCs/>
                <w:color w:val="0D1E3A"/>
                <w:sz w:val="19"/>
                <w:szCs w:val="19"/>
              </w:rPr>
              <w:t xml:space="preserve">Cross-venue data integrity</w:t>
            </w:r>
          </w:p>
        </w:tc>
        <w:tc>
          <w:tcPr>
            <w:tcW w:type="dxa" w:w="6546"/>
            <w:tcBorders>
              <w:top w:val="single" w:color="D0D4DC" w:sz="4"/>
              <w:left w:val="single" w:color="D0D4DC" w:sz="4"/>
              <w:bottom w:val="single" w:color="D0D4DC" w:sz="4"/>
              <w:right w:val="single" w:color="D0D4DC" w:sz="4"/>
            </w:tcBorders>
            <w:shd w:fill="FFFFFF" w:val="clear"/>
            <w:tcMar>
              <w:top w:type="dxa" w:w="100"/>
              <w:left w:type="dxa" w:w="120"/>
              <w:bottom w:type="dxa" w:w="100"/>
              <w:right w:type="dxa" w:w="120"/>
            </w:tcMar>
            <w:vAlign w:val="top"/>
          </w:tcPr>
          <w:p>
            <w:pPr>
              <w:spacing w:after="60" w:before="60"/>
              <w:jc w:val="left"/>
            </w:pPr>
            <w:r>
              <w:rPr>
                <w:rFonts w:ascii="Calibri" w:cs="Calibri" w:eastAsia="Calibri" w:hAnsi="Calibri"/>
                <w:color w:val="000000"/>
                <w:sz w:val="19"/>
                <w:szCs w:val="19"/>
              </w:rPr>
              <w:t xml:space="preserve">Canonical event schema and provenance records enable cross-venue data quality validation</w:t>
            </w:r>
          </w:p>
        </w:tc>
      </w:tr>
    </w:tbl>
    <w:p>
      <w:pPr>
        <w:spacing w:after="100" w:before="100"/>
      </w:pPr>
    </w:p>
    <w:p>
      <w:pPr>
        <w:pStyle w:val="Heading2"/>
        <w:spacing w:after="80" w:before="220"/>
      </w:pPr>
      <w:r>
        <w:rPr>
          <w:rFonts w:ascii="Calibri" w:cs="Calibri" w:eastAsia="Calibri" w:hAnsi="Calibri"/>
          <w:b/>
          <w:bCs/>
          <w:color w:val="1B4F8A"/>
          <w:sz w:val="24"/>
          <w:szCs w:val="24"/>
        </w:rPr>
        <w:t xml:space="preserve">A.3 MiFID II — Consolidated Tape Analogue</w:t>
      </w:r>
    </w:p>
    <w:p>
      <w:pPr>
        <w:spacing w:after="50" w:before="5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4146"/>
      </w:tblGrid>
      <w:tr>
        <w:tc>
          <w:tcPr>
            <w:tcW w:type="dxa" w:w="2800"/>
            <w:tcBorders>
              <w:top w:val="single" w:color="0D1E3A" w:sz="4"/>
              <w:left w:val="single" w:color="0D1E3A" w:sz="4"/>
              <w:bottom w:val="single" w:color="0D1E3A" w:sz="4"/>
              <w:right w:val="single" w:color="0D1E3A" w:sz="4"/>
            </w:tcBorders>
            <w:shd w:fill="0D1E3A" w:val="clear"/>
            <w:tcMar>
              <w:top w:type="dxa" w:w="100"/>
              <w:left w:type="dxa" w:w="120"/>
              <w:bottom w:type="dxa" w:w="100"/>
              <w:right w:type="dxa" w:w="120"/>
            </w:tcMar>
            <w:vAlign w:val="top"/>
          </w:tcPr>
          <w:p>
            <w:pPr>
              <w:spacing w:after="60" w:before="60"/>
              <w:jc w:val="left"/>
            </w:pPr>
            <w:r>
              <w:rPr>
                <w:rFonts w:ascii="Calibri" w:cs="Calibri" w:eastAsia="Calibri" w:hAnsi="Calibri"/>
                <w:b/>
                <w:bCs/>
                <w:color w:val="FFFFFF"/>
                <w:sz w:val="18"/>
                <w:szCs w:val="18"/>
              </w:rPr>
              <w:t xml:space="preserve">MiFID II Concept</w:t>
            </w:r>
          </w:p>
        </w:tc>
        <w:tc>
          <w:tcPr>
            <w:tcW w:type="dxa" w:w="2800"/>
            <w:tcBorders>
              <w:top w:val="single" w:color="0D1E3A" w:sz="4"/>
              <w:left w:val="single" w:color="0D1E3A" w:sz="4"/>
              <w:bottom w:val="single" w:color="0D1E3A" w:sz="4"/>
              <w:right w:val="single" w:color="0D1E3A" w:sz="4"/>
            </w:tcBorders>
            <w:shd w:fill="0D1E3A" w:val="clear"/>
            <w:tcMar>
              <w:top w:type="dxa" w:w="100"/>
              <w:left w:type="dxa" w:w="120"/>
              <w:bottom w:type="dxa" w:w="100"/>
              <w:right w:type="dxa" w:w="120"/>
            </w:tcMar>
            <w:vAlign w:val="top"/>
          </w:tcPr>
          <w:p>
            <w:pPr>
              <w:spacing w:after="60" w:before="60"/>
              <w:jc w:val="left"/>
            </w:pPr>
            <w:r>
              <w:rPr>
                <w:rFonts w:ascii="Calibri" w:cs="Calibri" w:eastAsia="Calibri" w:hAnsi="Calibri"/>
                <w:b/>
                <w:bCs/>
                <w:color w:val="FFFFFF"/>
                <w:sz w:val="18"/>
                <w:szCs w:val="18"/>
              </w:rPr>
              <w:t xml:space="preserve">MiFID II Function</w:t>
            </w:r>
          </w:p>
        </w:tc>
        <w:tc>
          <w:tcPr>
            <w:tcW w:type="dxa" w:w="4146"/>
            <w:tcBorders>
              <w:top w:val="single" w:color="0D1E3A" w:sz="4"/>
              <w:left w:val="single" w:color="0D1E3A" w:sz="4"/>
              <w:bottom w:val="single" w:color="0D1E3A" w:sz="4"/>
              <w:right w:val="single" w:color="0D1E3A" w:sz="4"/>
            </w:tcBorders>
            <w:shd w:fill="0D1E3A" w:val="clear"/>
            <w:tcMar>
              <w:top w:type="dxa" w:w="100"/>
              <w:left w:type="dxa" w:w="120"/>
              <w:bottom w:type="dxa" w:w="100"/>
              <w:right w:type="dxa" w:w="120"/>
            </w:tcMar>
            <w:vAlign w:val="top"/>
          </w:tcPr>
          <w:p>
            <w:pPr>
              <w:spacing w:after="60" w:before="60"/>
              <w:jc w:val="left"/>
            </w:pPr>
            <w:r>
              <w:rPr>
                <w:rFonts w:ascii="Calibri" w:cs="Calibri" w:eastAsia="Calibri" w:hAnsi="Calibri"/>
                <w:b/>
                <w:bCs/>
                <w:color w:val="FFFFFF"/>
                <w:sz w:val="18"/>
                <w:szCs w:val="18"/>
              </w:rPr>
              <w:t xml:space="preserve">DACT Equivalent</w:t>
            </w:r>
          </w:p>
        </w:tc>
      </w:tr>
      <w:tr>
        <w:tc>
          <w:tcPr>
            <w:tcW w:type="dxa" w:w="2800"/>
            <w:tcBorders>
              <w:top w:val="single" w:color="D0D4DC" w:sz="4"/>
              <w:left w:val="single" w:color="D0D4DC" w:sz="4"/>
              <w:bottom w:val="single" w:color="D0D4DC" w:sz="4"/>
              <w:right w:val="single" w:color="D0D4DC" w:sz="4"/>
            </w:tcBorders>
            <w:shd w:fill="EEF2F8" w:val="clear"/>
            <w:tcMar>
              <w:top w:type="dxa" w:w="100"/>
              <w:left w:type="dxa" w:w="120"/>
              <w:bottom w:type="dxa" w:w="100"/>
              <w:right w:type="dxa" w:w="120"/>
            </w:tcMar>
            <w:vAlign w:val="top"/>
          </w:tcPr>
          <w:p>
            <w:pPr>
              <w:spacing w:after="60" w:before="60"/>
              <w:jc w:val="left"/>
            </w:pPr>
            <w:r>
              <w:rPr>
                <w:rFonts w:ascii="Calibri" w:cs="Calibri" w:eastAsia="Calibri" w:hAnsi="Calibri"/>
                <w:b/>
                <w:bCs/>
                <w:color w:val="0D1E3A"/>
                <w:sz w:val="19"/>
                <w:szCs w:val="19"/>
              </w:rPr>
              <w:t xml:space="preserve">Consolidated Tape Provider (CTP)</w:t>
            </w:r>
          </w:p>
        </w:tc>
        <w:tc>
          <w:tcPr>
            <w:tcW w:type="dxa" w:w="2800"/>
            <w:tcBorders>
              <w:top w:val="single" w:color="D0D4DC" w:sz="4"/>
              <w:left w:val="single" w:color="D0D4DC" w:sz="4"/>
              <w:bottom w:val="single" w:color="D0D4DC" w:sz="4"/>
              <w:right w:val="single" w:color="D0D4DC" w:sz="4"/>
            </w:tcBorders>
            <w:shd w:fill="F2F4F7" w:val="clear"/>
            <w:tcMar>
              <w:top w:type="dxa" w:w="100"/>
              <w:left w:type="dxa" w:w="120"/>
              <w:bottom w:type="dxa" w:w="100"/>
              <w:right w:type="dxa" w:w="120"/>
            </w:tcMar>
            <w:vAlign w:val="top"/>
          </w:tcPr>
          <w:p>
            <w:pPr>
              <w:spacing w:after="60" w:before="60"/>
              <w:jc w:val="left"/>
            </w:pPr>
            <w:r>
              <w:rPr>
                <w:rFonts w:ascii="Calibri" w:cs="Calibri" w:eastAsia="Calibri" w:hAnsi="Calibri"/>
                <w:color w:val="6B7280"/>
                <w:sz w:val="19"/>
                <w:szCs w:val="19"/>
              </w:rPr>
              <w:t xml:space="preserve">Single authoritative post-trade record across venues</w:t>
            </w:r>
          </w:p>
        </w:tc>
        <w:tc>
          <w:tcPr>
            <w:tcW w:type="dxa" w:w="4146"/>
            <w:tcBorders>
              <w:top w:val="single" w:color="D0D4DC" w:sz="4"/>
              <w:left w:val="single" w:color="D0D4DC" w:sz="4"/>
              <w:bottom w:val="single" w:color="D0D4DC" w:sz="4"/>
              <w:right w:val="single" w:color="D0D4DC" w:sz="4"/>
            </w:tcBorders>
            <w:shd w:fill="F2F4F7" w:val="clear"/>
            <w:tcMar>
              <w:top w:type="dxa" w:w="100"/>
              <w:left w:type="dxa" w:w="120"/>
              <w:bottom w:type="dxa" w:w="100"/>
              <w:right w:type="dxa" w:w="120"/>
            </w:tcMar>
            <w:vAlign w:val="top"/>
          </w:tcPr>
          <w:p>
            <w:pPr>
              <w:spacing w:after="60" w:before="60"/>
              <w:jc w:val="left"/>
            </w:pPr>
            <w:r>
              <w:rPr>
                <w:rFonts w:ascii="Calibri" w:cs="Calibri" w:eastAsia="Calibri" w:hAnsi="Calibri"/>
                <w:color w:val="000000"/>
                <w:sz w:val="19"/>
                <w:szCs w:val="19"/>
              </w:rPr>
              <w:t xml:space="preserve">DACT as sole canonical tape for declared digital asset venues</w:t>
            </w:r>
          </w:p>
        </w:tc>
      </w:tr>
      <w:tr>
        <w:tc>
          <w:tcPr>
            <w:tcW w:type="dxa" w:w="2800"/>
            <w:tcBorders>
              <w:top w:val="single" w:color="D0D4DC" w:sz="4"/>
              <w:left w:val="single" w:color="D0D4DC" w:sz="4"/>
              <w:bottom w:val="single" w:color="D0D4DC" w:sz="4"/>
              <w:right w:val="single" w:color="D0D4DC" w:sz="4"/>
            </w:tcBorders>
            <w:shd w:fill="F8F9FB" w:val="clear"/>
            <w:tcMar>
              <w:top w:type="dxa" w:w="100"/>
              <w:left w:type="dxa" w:w="120"/>
              <w:bottom w:type="dxa" w:w="100"/>
              <w:right w:type="dxa" w:w="120"/>
            </w:tcMar>
            <w:vAlign w:val="top"/>
          </w:tcPr>
          <w:p>
            <w:pPr>
              <w:spacing w:after="60" w:before="60"/>
              <w:jc w:val="left"/>
            </w:pPr>
            <w:r>
              <w:rPr>
                <w:rFonts w:ascii="Calibri" w:cs="Calibri" w:eastAsia="Calibri" w:hAnsi="Calibri"/>
                <w:b/>
                <w:bCs/>
                <w:color w:val="0D1E3A"/>
                <w:sz w:val="19"/>
                <w:szCs w:val="19"/>
              </w:rPr>
              <w:t xml:space="preserve">Trade Reporting</w:t>
            </w:r>
          </w:p>
        </w:tc>
        <w:tc>
          <w:tcPr>
            <w:tcW w:type="dxa" w:w="2800"/>
            <w:tcBorders>
              <w:top w:val="single" w:color="D0D4DC" w:sz="4"/>
              <w:left w:val="single" w:color="D0D4DC" w:sz="4"/>
              <w:bottom w:val="single" w:color="D0D4DC" w:sz="4"/>
              <w:right w:val="single" w:color="D0D4DC" w:sz="4"/>
            </w:tcBorders>
            <w:shd w:fill="FFFFFF" w:val="clear"/>
            <w:tcMar>
              <w:top w:type="dxa" w:w="100"/>
              <w:left w:type="dxa" w:w="120"/>
              <w:bottom w:type="dxa" w:w="100"/>
              <w:right w:type="dxa" w:w="120"/>
            </w:tcMar>
            <w:vAlign w:val="top"/>
          </w:tcPr>
          <w:p>
            <w:pPr>
              <w:spacing w:after="60" w:before="60"/>
              <w:jc w:val="left"/>
            </w:pPr>
            <w:r>
              <w:rPr>
                <w:rFonts w:ascii="Calibri" w:cs="Calibri" w:eastAsia="Calibri" w:hAnsi="Calibri"/>
                <w:color w:val="6B7280"/>
                <w:sz w:val="19"/>
                <w:szCs w:val="19"/>
              </w:rPr>
              <w:t xml:space="preserve">Post-trade transparency with venue attribution</w:t>
            </w:r>
          </w:p>
        </w:tc>
        <w:tc>
          <w:tcPr>
            <w:tcW w:type="dxa" w:w="4146"/>
            <w:tcBorders>
              <w:top w:val="single" w:color="D0D4DC" w:sz="4"/>
              <w:left w:val="single" w:color="D0D4DC" w:sz="4"/>
              <w:bottom w:val="single" w:color="D0D4DC" w:sz="4"/>
              <w:right w:val="single" w:color="D0D4DC" w:sz="4"/>
            </w:tcBorders>
            <w:shd w:fill="FFFFFF" w:val="clear"/>
            <w:tcMar>
              <w:top w:type="dxa" w:w="100"/>
              <w:left w:type="dxa" w:w="120"/>
              <w:bottom w:type="dxa" w:w="100"/>
              <w:right w:type="dxa" w:w="120"/>
            </w:tcMar>
            <w:vAlign w:val="top"/>
          </w:tcPr>
          <w:p>
            <w:pPr>
              <w:spacing w:after="60" w:before="60"/>
              <w:jc w:val="left"/>
            </w:pPr>
            <w:r>
              <w:rPr>
                <w:rFonts w:ascii="Calibri" w:cs="Calibri" w:eastAsia="Calibri" w:hAnsi="Calibri"/>
                <w:color w:val="000000"/>
                <w:sz w:val="19"/>
                <w:szCs w:val="19"/>
              </w:rPr>
              <w:t xml:space="preserve">TRADE events with full provenance and microsecond timestamps</w:t>
            </w:r>
          </w:p>
        </w:tc>
      </w:tr>
      <w:tr>
        <w:tc>
          <w:tcPr>
            <w:tcW w:type="dxa" w:w="2800"/>
            <w:tcBorders>
              <w:top w:val="single" w:color="D0D4DC" w:sz="4"/>
              <w:left w:val="single" w:color="D0D4DC" w:sz="4"/>
              <w:bottom w:val="single" w:color="D0D4DC" w:sz="4"/>
              <w:right w:val="single" w:color="D0D4DC" w:sz="4"/>
            </w:tcBorders>
            <w:shd w:fill="EEF2F8" w:val="clear"/>
            <w:tcMar>
              <w:top w:type="dxa" w:w="100"/>
              <w:left w:type="dxa" w:w="120"/>
              <w:bottom w:type="dxa" w:w="100"/>
              <w:right w:type="dxa" w:w="120"/>
            </w:tcMar>
            <w:vAlign w:val="top"/>
          </w:tcPr>
          <w:p>
            <w:pPr>
              <w:spacing w:after="60" w:before="60"/>
              <w:jc w:val="left"/>
            </w:pPr>
            <w:r>
              <w:rPr>
                <w:rFonts w:ascii="Calibri" w:cs="Calibri" w:eastAsia="Calibri" w:hAnsi="Calibri"/>
                <w:b/>
                <w:bCs/>
                <w:color w:val="0D1E3A"/>
                <w:sz w:val="19"/>
                <w:szCs w:val="19"/>
              </w:rPr>
              <w:t xml:space="preserve">Best Execution Reporting</w:t>
            </w:r>
          </w:p>
        </w:tc>
        <w:tc>
          <w:tcPr>
            <w:tcW w:type="dxa" w:w="2800"/>
            <w:tcBorders>
              <w:top w:val="single" w:color="D0D4DC" w:sz="4"/>
              <w:left w:val="single" w:color="D0D4DC" w:sz="4"/>
              <w:bottom w:val="single" w:color="D0D4DC" w:sz="4"/>
              <w:right w:val="single" w:color="D0D4DC" w:sz="4"/>
            </w:tcBorders>
            <w:shd w:fill="F2F4F7" w:val="clear"/>
            <w:tcMar>
              <w:top w:type="dxa" w:w="100"/>
              <w:left w:type="dxa" w:w="120"/>
              <w:bottom w:type="dxa" w:w="100"/>
              <w:right w:type="dxa" w:w="120"/>
            </w:tcMar>
            <w:vAlign w:val="top"/>
          </w:tcPr>
          <w:p>
            <w:pPr>
              <w:spacing w:after="60" w:before="60"/>
              <w:jc w:val="left"/>
            </w:pPr>
            <w:r>
              <w:rPr>
                <w:rFonts w:ascii="Calibri" w:cs="Calibri" w:eastAsia="Calibri" w:hAnsi="Calibri"/>
                <w:color w:val="6B7280"/>
                <w:sz w:val="19"/>
                <w:szCs w:val="19"/>
              </w:rPr>
              <w:t xml:space="preserve">Pre- and post-trade price and depth transparency</w:t>
            </w:r>
          </w:p>
        </w:tc>
        <w:tc>
          <w:tcPr>
            <w:tcW w:type="dxa" w:w="4146"/>
            <w:tcBorders>
              <w:top w:val="single" w:color="D0D4DC" w:sz="4"/>
              <w:left w:val="single" w:color="D0D4DC" w:sz="4"/>
              <w:bottom w:val="single" w:color="D0D4DC" w:sz="4"/>
              <w:right w:val="single" w:color="D0D4DC" w:sz="4"/>
            </w:tcBorders>
            <w:shd w:fill="F2F4F7" w:val="clear"/>
            <w:tcMar>
              <w:top w:type="dxa" w:w="100"/>
              <w:left w:type="dxa" w:w="120"/>
              <w:bottom w:type="dxa" w:w="100"/>
              <w:right w:type="dxa" w:w="120"/>
            </w:tcMar>
            <w:vAlign w:val="top"/>
          </w:tcPr>
          <w:p>
            <w:pPr>
              <w:spacing w:after="60" w:before="60"/>
              <w:jc w:val="left"/>
            </w:pPr>
            <w:r>
              <w:rPr>
                <w:rFonts w:ascii="Calibri" w:cs="Calibri" w:eastAsia="Calibri" w:hAnsi="Calibri"/>
                <w:color w:val="000000"/>
                <w:sz w:val="19"/>
                <w:szCs w:val="19"/>
              </w:rPr>
              <w:t xml:space="preserve">BBO_UPDATE and DEPTH_UPDATE events across DSU venues</w:t>
            </w:r>
          </w:p>
        </w:tc>
      </w:tr>
      <w:tr>
        <w:tc>
          <w:tcPr>
            <w:tcW w:type="dxa" w:w="2800"/>
            <w:tcBorders>
              <w:top w:val="single" w:color="D0D4DC" w:sz="4"/>
              <w:left w:val="single" w:color="D0D4DC" w:sz="4"/>
              <w:bottom w:val="single" w:color="D0D4DC" w:sz="4"/>
              <w:right w:val="single" w:color="D0D4DC" w:sz="4"/>
            </w:tcBorders>
            <w:shd w:fill="F8F9FB" w:val="clear"/>
            <w:tcMar>
              <w:top w:type="dxa" w:w="100"/>
              <w:left w:type="dxa" w:w="120"/>
              <w:bottom w:type="dxa" w:w="100"/>
              <w:right w:type="dxa" w:w="120"/>
            </w:tcMar>
            <w:vAlign w:val="top"/>
          </w:tcPr>
          <w:p>
            <w:pPr>
              <w:spacing w:after="60" w:before="60"/>
              <w:jc w:val="left"/>
            </w:pPr>
            <w:r>
              <w:rPr>
                <w:rFonts w:ascii="Calibri" w:cs="Calibri" w:eastAsia="Calibri" w:hAnsi="Calibri"/>
                <w:b/>
                <w:bCs/>
                <w:color w:val="0D1E3A"/>
                <w:sz w:val="19"/>
                <w:szCs w:val="19"/>
              </w:rPr>
              <w:t xml:space="preserve">Regulatory Record-Keeping</w:t>
            </w:r>
          </w:p>
        </w:tc>
        <w:tc>
          <w:tcPr>
            <w:tcW w:type="dxa" w:w="2800"/>
            <w:tcBorders>
              <w:top w:val="single" w:color="D0D4DC" w:sz="4"/>
              <w:left w:val="single" w:color="D0D4DC" w:sz="4"/>
              <w:bottom w:val="single" w:color="D0D4DC" w:sz="4"/>
              <w:right w:val="single" w:color="D0D4DC" w:sz="4"/>
            </w:tcBorders>
            <w:shd w:fill="FFFFFF" w:val="clear"/>
            <w:tcMar>
              <w:top w:type="dxa" w:w="100"/>
              <w:left w:type="dxa" w:w="120"/>
              <w:bottom w:type="dxa" w:w="100"/>
              <w:right w:type="dxa" w:w="120"/>
            </w:tcMar>
            <w:vAlign w:val="top"/>
          </w:tcPr>
          <w:p>
            <w:pPr>
              <w:spacing w:after="60" w:before="60"/>
              <w:jc w:val="left"/>
            </w:pPr>
            <w:r>
              <w:rPr>
                <w:rFonts w:ascii="Calibri" w:cs="Calibri" w:eastAsia="Calibri" w:hAnsi="Calibri"/>
                <w:color w:val="6B7280"/>
                <w:sz w:val="19"/>
                <w:szCs w:val="19"/>
              </w:rPr>
              <w:t xml:space="preserve">Immutable, timestamped electronic audit trail</w:t>
            </w:r>
          </w:p>
        </w:tc>
        <w:tc>
          <w:tcPr>
            <w:tcW w:type="dxa" w:w="4146"/>
            <w:tcBorders>
              <w:top w:val="single" w:color="D0D4DC" w:sz="4"/>
              <w:left w:val="single" w:color="D0D4DC" w:sz="4"/>
              <w:bottom w:val="single" w:color="D0D4DC" w:sz="4"/>
              <w:right w:val="single" w:color="D0D4DC" w:sz="4"/>
            </w:tcBorders>
            <w:shd w:fill="FFFFFF" w:val="clear"/>
            <w:tcMar>
              <w:top w:type="dxa" w:w="100"/>
              <w:left w:type="dxa" w:w="120"/>
              <w:bottom w:type="dxa" w:w="100"/>
              <w:right w:type="dxa" w:w="120"/>
            </w:tcMar>
            <w:vAlign w:val="top"/>
          </w:tcPr>
          <w:p>
            <w:pPr>
              <w:spacing w:after="60" w:before="60"/>
              <w:jc w:val="left"/>
            </w:pPr>
            <w:r>
              <w:rPr>
                <w:rFonts w:ascii="Calibri" w:cs="Calibri" w:eastAsia="Calibri" w:hAnsi="Calibri"/>
                <w:color w:val="000000"/>
                <w:sz w:val="19"/>
                <w:szCs w:val="19"/>
              </w:rPr>
              <w:t xml:space="preserve">Append-only LiquidityTapeEvent stream with 7-year retention</w:t>
            </w:r>
          </w:p>
        </w:tc>
      </w:tr>
    </w:tbl>
    <w:p>
      <w:pPr>
        <w:spacing w:after="200" w:before="200"/>
      </w:pPr>
    </w:p>
    <w:p>
      <w:r>
        <w:br w:type="page"/>
      </w:r>
    </w:p>
    <w:p>
      <w:pPr>
        <w:pStyle w:val="Heading1"/>
        <w:pBdr>
          <w:bottom w:val="single" w:color="1B4F8A" w:sz="8" w:space="2"/>
        </w:pBdr>
        <w:spacing w:after="120" w:before="280"/>
      </w:pPr>
      <w:r>
        <w:rPr>
          <w:rFonts w:ascii="Calibri" w:cs="Calibri" w:eastAsia="Calibri" w:hAnsi="Calibri"/>
          <w:b/>
          <w:bCs/>
          <w:color w:val="0D1E3A"/>
          <w:sz w:val="28"/>
          <w:szCs w:val="28"/>
        </w:rPr>
        <w:t xml:space="preserve">Annex B — LTR Schema Reference (Informative)</w:t>
      </w:r>
    </w:p>
    <w:p>
      <w:pPr>
        <w:spacing w:after="60" w:before="80"/>
        <w:jc w:val="left"/>
      </w:pPr>
      <w:r>
        <w:rPr>
          <w:rFonts w:ascii="Calibri" w:cs="Calibri" w:eastAsia="Calibri" w:hAnsi="Calibri"/>
          <w:color w:val="000000"/>
          <w:sz w:val="20"/>
          <w:szCs w:val="20"/>
        </w:rPr>
        <w:t xml:space="preserve">This annex provides informative reference material on the Liquidity Tape Reference (LTR-0.1) schema. Normative schema requirements are specified in Section 4.</w:t>
      </w:r>
    </w:p>
    <w:p>
      <w:pPr>
        <w:spacing w:after="100" w:before="100"/>
      </w:pPr>
    </w:p>
    <w:p>
      <w:pPr>
        <w:pStyle w:val="Heading2"/>
        <w:spacing w:after="80" w:before="220"/>
      </w:pPr>
      <w:r>
        <w:rPr>
          <w:rFonts w:ascii="Calibri" w:cs="Calibri" w:eastAsia="Calibri" w:hAnsi="Calibri"/>
          <w:b/>
          <w:bCs/>
          <w:color w:val="1B4F8A"/>
          <w:sz w:val="24"/>
          <w:szCs w:val="24"/>
        </w:rPr>
        <w:t xml:space="preserve">B.1 Source Type Classification</w:t>
      </w:r>
    </w:p>
    <w:p>
      <w:pPr>
        <w:spacing w:after="60" w:before="60"/>
        <w:jc w:val="left"/>
      </w:pPr>
      <w:r>
        <w:rPr>
          <w:rFonts w:ascii="Calibri" w:cs="Calibri" w:eastAsia="Calibri" w:hAnsi="Calibri"/>
          <w:color w:val="000000"/>
          <w:sz w:val="20"/>
          <w:szCs w:val="20"/>
        </w:rPr>
        <w:t xml:space="preserve">The source_type field classifies the liquidity mechanism of the originating venue, enabling downstream layers to apply venue-appropriate analytical models.</w:t>
      </w:r>
    </w:p>
    <w:p>
      <w:pPr>
        <w:spacing w:after="50" w:before="5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c>
          <w:tcPr>
            <w:tcW w:type="dxa" w:w="2400"/>
            <w:tcBorders>
              <w:top w:val="single" w:color="D0D4DC" w:sz="4"/>
              <w:left w:val="single" w:color="D0D4DC" w:sz="4"/>
              <w:bottom w:val="single" w:color="D0D4DC" w:sz="4"/>
              <w:right w:val="single" w:color="D0D4DC" w:sz="4"/>
            </w:tcBorders>
            <w:shd w:fill="EEF2F8" w:val="clear"/>
            <w:tcMar>
              <w:top w:type="dxa" w:w="100"/>
              <w:left w:type="dxa" w:w="120"/>
              <w:bottom w:type="dxa" w:w="100"/>
              <w:right w:type="dxa" w:w="120"/>
            </w:tcMar>
            <w:vAlign w:val="top"/>
          </w:tcPr>
          <w:p>
            <w:pPr>
              <w:spacing w:after="60" w:before="60"/>
              <w:jc w:val="left"/>
            </w:pPr>
            <w:r>
              <w:rPr>
                <w:rFonts w:ascii="Calibri" w:cs="Calibri" w:eastAsia="Calibri" w:hAnsi="Calibri"/>
                <w:b/>
                <w:bCs/>
                <w:color w:val="0D1E3A"/>
                <w:sz w:val="19"/>
                <w:szCs w:val="19"/>
              </w:rPr>
              <w:t xml:space="preserve">LIT_ORDERBOOK</w:t>
            </w:r>
          </w:p>
        </w:tc>
        <w:tc>
          <w:tcPr>
            <w:tcW w:type="dxa" w:w="7346"/>
            <w:tcBorders>
              <w:top w:val="single" w:color="D0D4DC" w:sz="4"/>
              <w:left w:val="single" w:color="D0D4DC" w:sz="4"/>
              <w:bottom w:val="single" w:color="D0D4DC" w:sz="4"/>
              <w:right w:val="single" w:color="D0D4DC" w:sz="4"/>
            </w:tcBorders>
            <w:shd w:fill="F2F4F7" w:val="clear"/>
            <w:tcMar>
              <w:top w:type="dxa" w:w="100"/>
              <w:left w:type="dxa" w:w="120"/>
              <w:bottom w:type="dxa" w:w="100"/>
              <w:right w:type="dxa" w:w="120"/>
            </w:tcMar>
            <w:vAlign w:val="top"/>
          </w:tcPr>
          <w:p>
            <w:pPr>
              <w:spacing w:after="60" w:before="60"/>
              <w:jc w:val="left"/>
            </w:pPr>
            <w:r>
              <w:rPr>
                <w:rFonts w:ascii="Calibri" w:cs="Calibri" w:eastAsia="Calibri" w:hAnsi="Calibri"/>
                <w:color w:val="1A1A2E"/>
                <w:sz w:val="19"/>
                <w:szCs w:val="19"/>
              </w:rPr>
              <w:t xml:space="preserve">Central limit order book venues (CEX). Limit orders at discrete price levels. Depth is directly observable. Price discovery is continuous.</w:t>
            </w:r>
          </w:p>
        </w:tc>
      </w:tr>
      <w:tr>
        <w:tc>
          <w:tcPr>
            <w:tcW w:type="dxa" w:w="2400"/>
            <w:tcBorders>
              <w:top w:val="single" w:color="D0D4DC" w:sz="4"/>
              <w:left w:val="single" w:color="D0D4DC" w:sz="4"/>
              <w:bottom w:val="single" w:color="D0D4DC" w:sz="4"/>
              <w:right w:val="single" w:color="D0D4DC" w:sz="4"/>
            </w:tcBorders>
            <w:shd w:fill="F8F9FB" w:val="clear"/>
            <w:tcMar>
              <w:top w:type="dxa" w:w="100"/>
              <w:left w:type="dxa" w:w="120"/>
              <w:bottom w:type="dxa" w:w="100"/>
              <w:right w:type="dxa" w:w="120"/>
            </w:tcMar>
            <w:vAlign w:val="top"/>
          </w:tcPr>
          <w:p>
            <w:pPr>
              <w:spacing w:after="60" w:before="60"/>
              <w:jc w:val="left"/>
            </w:pPr>
            <w:r>
              <w:rPr>
                <w:rFonts w:ascii="Calibri" w:cs="Calibri" w:eastAsia="Calibri" w:hAnsi="Calibri"/>
                <w:b/>
                <w:bCs/>
                <w:color w:val="0D1E3A"/>
                <w:sz w:val="19"/>
                <w:szCs w:val="19"/>
              </w:rPr>
              <w:t xml:space="preserve">RFQ_OTC</w:t>
            </w:r>
          </w:p>
        </w:tc>
        <w:tc>
          <w:tcPr>
            <w:tcW w:type="dxa" w:w="7346"/>
            <w:tcBorders>
              <w:top w:val="single" w:color="D0D4DC" w:sz="4"/>
              <w:left w:val="single" w:color="D0D4DC" w:sz="4"/>
              <w:bottom w:val="single" w:color="D0D4DC" w:sz="4"/>
              <w:right w:val="single" w:color="D0D4DC" w:sz="4"/>
            </w:tcBorders>
            <w:shd w:fill="FFFFFF" w:val="clear"/>
            <w:tcMar>
              <w:top w:type="dxa" w:w="100"/>
              <w:left w:type="dxa" w:w="120"/>
              <w:bottom w:type="dxa" w:w="100"/>
              <w:right w:type="dxa" w:w="120"/>
            </w:tcMar>
            <w:vAlign w:val="top"/>
          </w:tcPr>
          <w:p>
            <w:pPr>
              <w:spacing w:after="60" w:before="60"/>
              <w:jc w:val="left"/>
            </w:pPr>
            <w:r>
              <w:rPr>
                <w:rFonts w:ascii="Calibri" w:cs="Calibri" w:eastAsia="Calibri" w:hAnsi="Calibri"/>
                <w:color w:val="1A1A2E"/>
                <w:sz w:val="19"/>
                <w:szCs w:val="19"/>
              </w:rPr>
              <w:t xml:space="preserve">Request-for-quote and OTC venues. Liquidity is indicative until a quote is requested. Depth inference requires different analytical treatment from LIT venues.</w:t>
            </w:r>
          </w:p>
        </w:tc>
      </w:tr>
      <w:tr>
        <w:tc>
          <w:tcPr>
            <w:tcW w:type="dxa" w:w="2400"/>
            <w:tcBorders>
              <w:top w:val="single" w:color="D0D4DC" w:sz="4"/>
              <w:left w:val="single" w:color="D0D4DC" w:sz="4"/>
              <w:bottom w:val="single" w:color="D0D4DC" w:sz="4"/>
              <w:right w:val="single" w:color="D0D4DC" w:sz="4"/>
            </w:tcBorders>
            <w:shd w:fill="EEF2F8" w:val="clear"/>
            <w:tcMar>
              <w:top w:type="dxa" w:w="100"/>
              <w:left w:type="dxa" w:w="120"/>
              <w:bottom w:type="dxa" w:w="100"/>
              <w:right w:type="dxa" w:w="120"/>
            </w:tcMar>
            <w:vAlign w:val="top"/>
          </w:tcPr>
          <w:p>
            <w:pPr>
              <w:spacing w:after="60" w:before="60"/>
              <w:jc w:val="left"/>
            </w:pPr>
            <w:r>
              <w:rPr>
                <w:rFonts w:ascii="Calibri" w:cs="Calibri" w:eastAsia="Calibri" w:hAnsi="Calibri"/>
                <w:b/>
                <w:bCs/>
                <w:color w:val="0D1E3A"/>
                <w:sz w:val="19"/>
                <w:szCs w:val="19"/>
              </w:rPr>
              <w:t xml:space="preserve">AMM_DERIVED</w:t>
            </w:r>
          </w:p>
        </w:tc>
        <w:tc>
          <w:tcPr>
            <w:tcW w:type="dxa" w:w="7346"/>
            <w:tcBorders>
              <w:top w:val="single" w:color="D0D4DC" w:sz="4"/>
              <w:left w:val="single" w:color="D0D4DC" w:sz="4"/>
              <w:bottom w:val="single" w:color="D0D4DC" w:sz="4"/>
              <w:right w:val="single" w:color="D0D4DC" w:sz="4"/>
            </w:tcBorders>
            <w:shd w:fill="F2F4F7" w:val="clear"/>
            <w:tcMar>
              <w:top w:type="dxa" w:w="100"/>
              <w:left w:type="dxa" w:w="120"/>
              <w:bottom w:type="dxa" w:w="100"/>
              <w:right w:type="dxa" w:w="120"/>
            </w:tcMar>
            <w:vAlign w:val="top"/>
          </w:tcPr>
          <w:p>
            <w:pPr>
              <w:spacing w:after="60" w:before="60"/>
              <w:jc w:val="left"/>
            </w:pPr>
            <w:r>
              <w:rPr>
                <w:rFonts w:ascii="Calibri" w:cs="Calibri" w:eastAsia="Calibri" w:hAnsi="Calibri"/>
                <w:color w:val="1A1A2E"/>
                <w:sz w:val="19"/>
                <w:szCs w:val="19"/>
              </w:rPr>
              <w:t xml:space="preserve">Automated market maker venues (DEX). Liquidity depth is computed from pool reserves and the bonding curve function, not from discrete order levels. Price impact is deterministic but non-linear.</w:t>
            </w:r>
          </w:p>
        </w:tc>
      </w:tr>
    </w:tbl>
    <w:p>
      <w:pPr>
        <w:spacing w:after="100" w:before="100"/>
      </w:pPr>
    </w:p>
    <w:p>
      <w:pPr>
        <w:pStyle w:val="Heading2"/>
        <w:spacing w:after="80" w:before="220"/>
      </w:pPr>
      <w:r>
        <w:rPr>
          <w:rFonts w:ascii="Calibri" w:cs="Calibri" w:eastAsia="Calibri" w:hAnsi="Calibri"/>
          <w:b/>
          <w:bCs/>
          <w:color w:val="1B4F8A"/>
          <w:sz w:val="24"/>
          <w:szCs w:val="24"/>
        </w:rPr>
        <w:t xml:space="preserve">B.2 Venue Status State Machine</w:t>
      </w:r>
    </w:p>
    <w:p>
      <w:pPr>
        <w:spacing w:after="50" w:before="5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6946"/>
      </w:tblGrid>
      <w:tr>
        <w:tc>
          <w:tcPr>
            <w:tcW w:type="dxa" w:w="2800"/>
            <w:tcBorders>
              <w:top w:val="single" w:color="D0D4DC" w:sz="4"/>
              <w:left w:val="single" w:color="D0D4DC" w:sz="4"/>
              <w:bottom w:val="single" w:color="D0D4DC" w:sz="4"/>
              <w:right w:val="single" w:color="D0D4DC" w:sz="4"/>
            </w:tcBorders>
            <w:shd w:fill="EEF2F8" w:val="clear"/>
            <w:tcMar>
              <w:top w:type="dxa" w:w="100"/>
              <w:left w:type="dxa" w:w="120"/>
              <w:bottom w:type="dxa" w:w="100"/>
              <w:right w:type="dxa" w:w="120"/>
            </w:tcMar>
            <w:vAlign w:val="top"/>
          </w:tcPr>
          <w:p>
            <w:pPr>
              <w:spacing w:after="60" w:before="60"/>
              <w:jc w:val="left"/>
            </w:pPr>
            <w:r>
              <w:rPr>
                <w:rFonts w:ascii="Calibri" w:cs="Calibri" w:eastAsia="Calibri" w:hAnsi="Calibri"/>
                <w:b/>
                <w:bCs/>
                <w:color w:val="0D1E3A"/>
                <w:sz w:val="19"/>
                <w:szCs w:val="19"/>
              </w:rPr>
              <w:t xml:space="preserve">ONLINE → DEGRADED</w:t>
            </w:r>
          </w:p>
        </w:tc>
        <w:tc>
          <w:tcPr>
            <w:tcW w:type="dxa" w:w="6946"/>
            <w:tcBorders>
              <w:top w:val="single" w:color="D0D4DC" w:sz="4"/>
              <w:left w:val="single" w:color="D0D4DC" w:sz="4"/>
              <w:bottom w:val="single" w:color="D0D4DC" w:sz="4"/>
              <w:right w:val="single" w:color="D0D4DC" w:sz="4"/>
            </w:tcBorders>
            <w:shd w:fill="F2F4F7" w:val="clear"/>
            <w:tcMar>
              <w:top w:type="dxa" w:w="100"/>
              <w:left w:type="dxa" w:w="120"/>
              <w:bottom w:type="dxa" w:w="100"/>
              <w:right w:type="dxa" w:w="120"/>
            </w:tcMar>
            <w:vAlign w:val="top"/>
          </w:tcPr>
          <w:p>
            <w:pPr>
              <w:spacing w:after="60" w:before="60"/>
              <w:jc w:val="left"/>
            </w:pPr>
            <w:r>
              <w:rPr>
                <w:rFonts w:ascii="Calibri" w:cs="Calibri" w:eastAsia="Calibri" w:hAnsi="Calibri"/>
                <w:color w:val="1A1A2E"/>
                <w:sz w:val="19"/>
                <w:szCs w:val="19"/>
              </w:rPr>
              <w:t xml:space="preserve">Trigger: venue_ts lag exceeds 500ms on three consecutive events. Automatic.</w:t>
            </w:r>
          </w:p>
        </w:tc>
      </w:tr>
      <w:tr>
        <w:tc>
          <w:tcPr>
            <w:tcW w:type="dxa" w:w="2800"/>
            <w:tcBorders>
              <w:top w:val="single" w:color="D0D4DC" w:sz="4"/>
              <w:left w:val="single" w:color="D0D4DC" w:sz="4"/>
              <w:bottom w:val="single" w:color="D0D4DC" w:sz="4"/>
              <w:right w:val="single" w:color="D0D4DC" w:sz="4"/>
            </w:tcBorders>
            <w:shd w:fill="F8F9FB" w:val="clear"/>
            <w:tcMar>
              <w:top w:type="dxa" w:w="100"/>
              <w:left w:type="dxa" w:w="120"/>
              <w:bottom w:type="dxa" w:w="100"/>
              <w:right w:type="dxa" w:w="120"/>
            </w:tcMar>
            <w:vAlign w:val="top"/>
          </w:tcPr>
          <w:p>
            <w:pPr>
              <w:spacing w:after="60" w:before="60"/>
              <w:jc w:val="left"/>
            </w:pPr>
            <w:r>
              <w:rPr>
                <w:rFonts w:ascii="Calibri" w:cs="Calibri" w:eastAsia="Calibri" w:hAnsi="Calibri"/>
                <w:b/>
                <w:bCs/>
                <w:color w:val="0D1E3A"/>
                <w:sz w:val="19"/>
                <w:szCs w:val="19"/>
              </w:rPr>
              <w:t xml:space="preserve">DEGRADED → ONLINE</w:t>
            </w:r>
          </w:p>
        </w:tc>
        <w:tc>
          <w:tcPr>
            <w:tcW w:type="dxa" w:w="6946"/>
            <w:tcBorders>
              <w:top w:val="single" w:color="D0D4DC" w:sz="4"/>
              <w:left w:val="single" w:color="D0D4DC" w:sz="4"/>
              <w:bottom w:val="single" w:color="D0D4DC" w:sz="4"/>
              <w:right w:val="single" w:color="D0D4DC" w:sz="4"/>
            </w:tcBorders>
            <w:shd w:fill="FFFFFF" w:val="clear"/>
            <w:tcMar>
              <w:top w:type="dxa" w:w="100"/>
              <w:left w:type="dxa" w:w="120"/>
              <w:bottom w:type="dxa" w:w="100"/>
              <w:right w:type="dxa" w:w="120"/>
            </w:tcMar>
            <w:vAlign w:val="top"/>
          </w:tcPr>
          <w:p>
            <w:pPr>
              <w:spacing w:after="60" w:before="60"/>
              <w:jc w:val="left"/>
            </w:pPr>
            <w:r>
              <w:rPr>
                <w:rFonts w:ascii="Calibri" w:cs="Calibri" w:eastAsia="Calibri" w:hAnsi="Calibri"/>
                <w:color w:val="1A1A2E"/>
                <w:sz w:val="19"/>
                <w:szCs w:val="19"/>
              </w:rPr>
              <w:t xml:space="preserve">Trigger: venue_ts lag returns within threshold for 60 consecutive seconds. Automatic.</w:t>
            </w:r>
          </w:p>
        </w:tc>
      </w:tr>
      <w:tr>
        <w:tc>
          <w:tcPr>
            <w:tcW w:type="dxa" w:w="2800"/>
            <w:tcBorders>
              <w:top w:val="single" w:color="D0D4DC" w:sz="4"/>
              <w:left w:val="single" w:color="D0D4DC" w:sz="4"/>
              <w:bottom w:val="single" w:color="D0D4DC" w:sz="4"/>
              <w:right w:val="single" w:color="D0D4DC" w:sz="4"/>
            </w:tcBorders>
            <w:shd w:fill="EEF2F8" w:val="clear"/>
            <w:tcMar>
              <w:top w:type="dxa" w:w="100"/>
              <w:left w:type="dxa" w:w="120"/>
              <w:bottom w:type="dxa" w:w="100"/>
              <w:right w:type="dxa" w:w="120"/>
            </w:tcMar>
            <w:vAlign w:val="top"/>
          </w:tcPr>
          <w:p>
            <w:pPr>
              <w:spacing w:after="60" w:before="60"/>
              <w:jc w:val="left"/>
            </w:pPr>
            <w:r>
              <w:rPr>
                <w:rFonts w:ascii="Calibri" w:cs="Calibri" w:eastAsia="Calibri" w:hAnsi="Calibri"/>
                <w:b/>
                <w:bCs/>
                <w:color w:val="0D1E3A"/>
                <w:sz w:val="19"/>
                <w:szCs w:val="19"/>
              </w:rPr>
              <w:t xml:space="preserve">ONLINE/DEGRADED → OFFLINE</w:t>
            </w:r>
          </w:p>
        </w:tc>
        <w:tc>
          <w:tcPr>
            <w:tcW w:type="dxa" w:w="6946"/>
            <w:tcBorders>
              <w:top w:val="single" w:color="D0D4DC" w:sz="4"/>
              <w:left w:val="single" w:color="D0D4DC" w:sz="4"/>
              <w:bottom w:val="single" w:color="D0D4DC" w:sz="4"/>
              <w:right w:val="single" w:color="D0D4DC" w:sz="4"/>
            </w:tcBorders>
            <w:shd w:fill="F2F4F7" w:val="clear"/>
            <w:tcMar>
              <w:top w:type="dxa" w:w="100"/>
              <w:left w:type="dxa" w:w="120"/>
              <w:bottom w:type="dxa" w:w="100"/>
              <w:right w:type="dxa" w:w="120"/>
            </w:tcMar>
            <w:vAlign w:val="top"/>
          </w:tcPr>
          <w:p>
            <w:pPr>
              <w:spacing w:after="60" w:before="60"/>
              <w:jc w:val="left"/>
            </w:pPr>
            <w:r>
              <w:rPr>
                <w:rFonts w:ascii="Calibri" w:cs="Calibri" w:eastAsia="Calibri" w:hAnsi="Calibri"/>
                <w:color w:val="1A1A2E"/>
                <w:sz w:val="19"/>
                <w:szCs w:val="19"/>
              </w:rPr>
              <w:t xml:space="preserve">Trigger: no event received from venue for 5 minutes. Automatic.</w:t>
            </w:r>
          </w:p>
        </w:tc>
      </w:tr>
      <w:tr>
        <w:tc>
          <w:tcPr>
            <w:tcW w:type="dxa" w:w="2800"/>
            <w:tcBorders>
              <w:top w:val="single" w:color="D0D4DC" w:sz="4"/>
              <w:left w:val="single" w:color="D0D4DC" w:sz="4"/>
              <w:bottom w:val="single" w:color="D0D4DC" w:sz="4"/>
              <w:right w:val="single" w:color="D0D4DC" w:sz="4"/>
            </w:tcBorders>
            <w:shd w:fill="F8F9FB" w:val="clear"/>
            <w:tcMar>
              <w:top w:type="dxa" w:w="100"/>
              <w:left w:type="dxa" w:w="120"/>
              <w:bottom w:type="dxa" w:w="100"/>
              <w:right w:type="dxa" w:w="120"/>
            </w:tcMar>
            <w:vAlign w:val="top"/>
          </w:tcPr>
          <w:p>
            <w:pPr>
              <w:spacing w:after="60" w:before="60"/>
              <w:jc w:val="left"/>
            </w:pPr>
            <w:r>
              <w:rPr>
                <w:rFonts w:ascii="Calibri" w:cs="Calibri" w:eastAsia="Calibri" w:hAnsi="Calibri"/>
                <w:b/>
                <w:bCs/>
                <w:color w:val="0D1E3A"/>
                <w:sz w:val="19"/>
                <w:szCs w:val="19"/>
              </w:rPr>
              <w:t xml:space="preserve">OFFLINE → ONLINE</w:t>
            </w:r>
          </w:p>
        </w:tc>
        <w:tc>
          <w:tcPr>
            <w:tcW w:type="dxa" w:w="6946"/>
            <w:tcBorders>
              <w:top w:val="single" w:color="D0D4DC" w:sz="4"/>
              <w:left w:val="single" w:color="D0D4DC" w:sz="4"/>
              <w:bottom w:val="single" w:color="D0D4DC" w:sz="4"/>
              <w:right w:val="single" w:color="D0D4DC" w:sz="4"/>
            </w:tcBorders>
            <w:shd w:fill="FFFFFF" w:val="clear"/>
            <w:tcMar>
              <w:top w:type="dxa" w:w="100"/>
              <w:left w:type="dxa" w:w="120"/>
              <w:bottom w:type="dxa" w:w="100"/>
              <w:right w:type="dxa" w:w="120"/>
            </w:tcMar>
            <w:vAlign w:val="top"/>
          </w:tcPr>
          <w:p>
            <w:pPr>
              <w:spacing w:after="60" w:before="60"/>
              <w:jc w:val="left"/>
            </w:pPr>
            <w:r>
              <w:rPr>
                <w:rFonts w:ascii="Calibri" w:cs="Calibri" w:eastAsia="Calibri" w:hAnsi="Calibri"/>
                <w:color w:val="1A1A2E"/>
                <w:sz w:val="19"/>
                <w:szCs w:val="19"/>
              </w:rPr>
              <w:t xml:space="preserve">Trigger: successful event received with valid provenance after OFFLINE period. Requires human confirmation for DSU venues.</w:t>
            </w:r>
          </w:p>
        </w:tc>
      </w:tr>
    </w:tbl>
    <w:p>
      <w:pPr>
        <w:spacing w:after="100" w:before="100"/>
      </w:pPr>
    </w:p>
    <w:p>
      <w:pPr>
        <w:pStyle w:val="Heading2"/>
        <w:spacing w:after="80" w:before="220"/>
      </w:pPr>
      <w:r>
        <w:rPr>
          <w:rFonts w:ascii="Calibri" w:cs="Calibri" w:eastAsia="Calibri" w:hAnsi="Calibri"/>
          <w:b/>
          <w:bCs/>
          <w:color w:val="1B4F8A"/>
          <w:sz w:val="24"/>
          <w:szCs w:val="24"/>
        </w:rPr>
        <w:t xml:space="preserve">B.3 Canonical Asset UUID Format</w:t>
      </w:r>
    </w:p>
    <w:p>
      <w:pPr>
        <w:spacing w:after="60" w:before="60"/>
        <w:jc w:val="left"/>
      </w:pPr>
      <w:r>
        <w:rPr>
          <w:rFonts w:ascii="Calibri" w:cs="Calibri" w:eastAsia="Calibri" w:hAnsi="Calibri"/>
          <w:color w:val="000000"/>
          <w:sz w:val="20"/>
          <w:szCs w:val="20"/>
        </w:rPr>
        <w:t xml:space="preserve">Canonical asset UUIDs follow the format: STRATALINK-{ASSET_CLASS}-{SYMBOL}-{VERSION}. Example: STRATALINK-CRYPTO-BTCUSD-001. The version suffix supports future canonical symbol revisions without breaking historical event references. Asset UUID resolution tables are version-controlled alongside the DACT standard.</w:t>
      </w:r>
    </w:p>
    <w:p>
      <w:pPr>
        <w:spacing w:after="200" w:before="200"/>
      </w:pPr>
    </w:p>
    <w:p>
      <w:r>
        <w:br w:type="page"/>
      </w:r>
    </w:p>
    <w:p>
      <w:pPr>
        <w:pStyle w:val="Heading1"/>
        <w:pBdr>
          <w:bottom w:val="single" w:color="1B4F8A" w:sz="8" w:space="2"/>
        </w:pBdr>
        <w:spacing w:after="120" w:before="280"/>
      </w:pPr>
      <w:r>
        <w:rPr>
          <w:rFonts w:ascii="Calibri" w:cs="Calibri" w:eastAsia="Calibri" w:hAnsi="Calibri"/>
          <w:b/>
          <w:bCs/>
          <w:color w:val="0D1E3A"/>
          <w:sz w:val="28"/>
          <w:szCs w:val="28"/>
        </w:rPr>
        <w:t xml:space="preserve">Citation and Referencing</w:t>
      </w:r>
    </w:p>
    <w:p>
      <w:pPr>
        <w:spacing w:after="100" w:before="1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D0D4DC" w:sz="4"/>
              <w:left w:val="single" w:color="D0D4DC" w:sz="4"/>
              <w:bottom w:val="single" w:color="D0D4DC" w:sz="4"/>
              <w:right w:val="single" w:color="D0D4DC" w:sz="4"/>
            </w:tcBorders>
            <w:shd w:fill="F2F4F7" w:val="clear"/>
            <w:tcMar>
              <w:top w:type="dxa" w:w="100"/>
              <w:left w:type="dxa" w:w="120"/>
              <w:bottom w:type="dxa" w:w="100"/>
              <w:right w:type="dxa" w:w="120"/>
            </w:tcMar>
            <w:vAlign w:val="top"/>
          </w:tcPr>
          <w:p>
            <w:pPr>
              <w:spacing w:after="60" w:before="60"/>
              <w:jc w:val="left"/>
            </w:pPr>
            <w:r>
              <w:rPr>
                <w:rFonts w:ascii="Calibri" w:cs="Calibri" w:eastAsia="Calibri" w:hAnsi="Calibri"/>
                <w:b/>
                <w:bCs/>
                <w:color w:val="0D1E3A"/>
                <w:sz w:val="20"/>
                <w:szCs w:val="20"/>
              </w:rPr>
              <w:t xml:space="preserve">Recommended citation:</w:t>
            </w:r>
          </w:p>
          <w:p>
            <w:pPr>
              <w:spacing w:after="50" w:before="50"/>
            </w:pPr>
          </w:p>
          <w:p>
            <w:pPr>
              <w:spacing w:after="60" w:before="60"/>
              <w:jc w:val="left"/>
            </w:pPr>
            <w:r>
              <w:rPr>
                <w:rFonts w:ascii="Calibri" w:cs="Calibri" w:eastAsia="Calibri" w:hAnsi="Calibri"/>
                <w:i/>
                <w:iCs/>
                <w:color w:val="1A1A2E"/>
                <w:sz w:val="19"/>
                <w:szCs w:val="19"/>
              </w:rPr>
              <w:t xml:space="preserve">Stratalink Labs Ltd (2026). DACT-STD-1.0: Digital Assets Consolidated Tape Standard.</w:t>
            </w:r>
          </w:p>
        </w:tc>
      </w:tr>
    </w:tbl>
    <w:p>
      <w:pPr>
        <w:spacing w:after="150" w:before="15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6946"/>
      </w:tblGrid>
      <w:tr>
        <w:tc>
          <w:tcPr>
            <w:tcW w:type="dxa" w:w="2800"/>
            <w:tcBorders>
              <w:top w:val="single" w:color="D0D4DC" w:sz="4"/>
              <w:left w:val="single" w:color="D0D4DC" w:sz="4"/>
              <w:bottom w:val="single" w:color="D0D4DC" w:sz="4"/>
              <w:right w:val="single" w:color="D0D4DC" w:sz="4"/>
            </w:tcBorders>
            <w:shd w:fill="EEF2F8" w:val="clear"/>
            <w:tcMar>
              <w:top w:type="dxa" w:w="100"/>
              <w:left w:type="dxa" w:w="120"/>
              <w:bottom w:type="dxa" w:w="100"/>
              <w:right w:type="dxa" w:w="120"/>
            </w:tcMar>
            <w:vAlign w:val="top"/>
          </w:tcPr>
          <w:p>
            <w:pPr>
              <w:spacing w:after="60" w:before="60"/>
              <w:jc w:val="left"/>
            </w:pPr>
            <w:r>
              <w:rPr>
                <w:rFonts w:ascii="Calibri" w:cs="Calibri" w:eastAsia="Calibri" w:hAnsi="Calibri"/>
                <w:b/>
                <w:bCs/>
                <w:color w:val="0D1E3A"/>
                <w:sz w:val="19"/>
                <w:szCs w:val="19"/>
              </w:rPr>
              <w:t xml:space="preserve">Normative References</w:t>
            </w:r>
          </w:p>
        </w:tc>
        <w:tc>
          <w:tcPr>
            <w:tcW w:type="dxa" w:w="6946"/>
            <w:tcBorders>
              <w:top w:val="single" w:color="D0D4DC" w:sz="4"/>
              <w:left w:val="single" w:color="D0D4DC" w:sz="4"/>
              <w:bottom w:val="single" w:color="D0D4DC" w:sz="4"/>
              <w:right w:val="single" w:color="D0D4DC" w:sz="4"/>
            </w:tcBorders>
            <w:shd w:fill="F2F4F7" w:val="clear"/>
            <w:tcMar>
              <w:top w:type="dxa" w:w="100"/>
              <w:left w:type="dxa" w:w="120"/>
              <w:bottom w:type="dxa" w:w="100"/>
              <w:right w:type="dxa" w:w="120"/>
            </w:tcMar>
            <w:vAlign w:val="top"/>
          </w:tcPr>
          <w:p>
            <w:pPr>
              <w:spacing w:after="60" w:before="60"/>
              <w:jc w:val="left"/>
            </w:pPr>
            <w:r>
              <w:rPr>
                <w:rFonts w:ascii="Calibri" w:cs="Calibri" w:eastAsia="Calibri" w:hAnsi="Calibri"/>
                <w:color w:val="1A1A2E"/>
                <w:sz w:val="19"/>
                <w:szCs w:val="19"/>
              </w:rPr>
              <w:t xml:space="preserve">LTF-1.0 (Liquidity Truth Framework); LTR-0.1 (Liquidity Tape Reference); STAS-1.0 (Stratalink Technical Architecture Standard)</w:t>
            </w:r>
          </w:p>
        </w:tc>
      </w:tr>
      <w:tr>
        <w:tc>
          <w:tcPr>
            <w:tcW w:type="dxa" w:w="2800"/>
            <w:tcBorders>
              <w:top w:val="single" w:color="D0D4DC" w:sz="4"/>
              <w:left w:val="single" w:color="D0D4DC" w:sz="4"/>
              <w:bottom w:val="single" w:color="D0D4DC" w:sz="4"/>
              <w:right w:val="single" w:color="D0D4DC" w:sz="4"/>
            </w:tcBorders>
            <w:shd w:fill="F8F9FB" w:val="clear"/>
            <w:tcMar>
              <w:top w:type="dxa" w:w="100"/>
              <w:left w:type="dxa" w:w="120"/>
              <w:bottom w:type="dxa" w:w="100"/>
              <w:right w:type="dxa" w:w="120"/>
            </w:tcMar>
            <w:vAlign w:val="top"/>
          </w:tcPr>
          <w:p>
            <w:pPr>
              <w:spacing w:after="60" w:before="60"/>
              <w:jc w:val="left"/>
            </w:pPr>
            <w:r>
              <w:rPr>
                <w:rFonts w:ascii="Calibri" w:cs="Calibri" w:eastAsia="Calibri" w:hAnsi="Calibri"/>
                <w:b/>
                <w:bCs/>
                <w:color w:val="0D1E3A"/>
                <w:sz w:val="19"/>
                <w:szCs w:val="19"/>
              </w:rPr>
              <w:t xml:space="preserve">Downstream Standards</w:t>
            </w:r>
          </w:p>
        </w:tc>
        <w:tc>
          <w:tcPr>
            <w:tcW w:type="dxa" w:w="6946"/>
            <w:tcBorders>
              <w:top w:val="single" w:color="D0D4DC" w:sz="4"/>
              <w:left w:val="single" w:color="D0D4DC" w:sz="4"/>
              <w:bottom w:val="single" w:color="D0D4DC" w:sz="4"/>
              <w:right w:val="single" w:color="D0D4DC" w:sz="4"/>
            </w:tcBorders>
            <w:shd w:fill="FFFFFF" w:val="clear"/>
            <w:tcMar>
              <w:top w:type="dxa" w:w="100"/>
              <w:left w:type="dxa" w:w="120"/>
              <w:bottom w:type="dxa" w:w="100"/>
              <w:right w:type="dxa" w:w="120"/>
            </w:tcMar>
            <w:vAlign w:val="top"/>
          </w:tcPr>
          <w:p>
            <w:pPr>
              <w:spacing w:after="60" w:before="60"/>
              <w:jc w:val="left"/>
            </w:pPr>
            <w:r>
              <w:rPr>
                <w:rFonts w:ascii="Calibri" w:cs="Calibri" w:eastAsia="Calibri" w:hAnsi="Calibri"/>
                <w:color w:val="1A1A2E"/>
                <w:sz w:val="19"/>
                <w:szCs w:val="19"/>
              </w:rPr>
              <w:t xml:space="preserve">STRATA-STD-1.0; PoLi-STD-1.0; RCL-STD-0.1</w:t>
            </w:r>
          </w:p>
        </w:tc>
      </w:tr>
      <w:tr>
        <w:tc>
          <w:tcPr>
            <w:tcW w:type="dxa" w:w="2800"/>
            <w:tcBorders>
              <w:top w:val="single" w:color="D0D4DC" w:sz="4"/>
              <w:left w:val="single" w:color="D0D4DC" w:sz="4"/>
              <w:bottom w:val="single" w:color="D0D4DC" w:sz="4"/>
              <w:right w:val="single" w:color="D0D4DC" w:sz="4"/>
            </w:tcBorders>
            <w:shd w:fill="EEF2F8" w:val="clear"/>
            <w:tcMar>
              <w:top w:type="dxa" w:w="100"/>
              <w:left w:type="dxa" w:w="120"/>
              <w:bottom w:type="dxa" w:w="100"/>
              <w:right w:type="dxa" w:w="120"/>
            </w:tcMar>
            <w:vAlign w:val="top"/>
          </w:tcPr>
          <w:p>
            <w:pPr>
              <w:spacing w:after="60" w:before="60"/>
              <w:jc w:val="left"/>
            </w:pPr>
            <w:r>
              <w:rPr>
                <w:rFonts w:ascii="Calibri" w:cs="Calibri" w:eastAsia="Calibri" w:hAnsi="Calibri"/>
                <w:b/>
                <w:bCs/>
                <w:color w:val="0D1E3A"/>
                <w:sz w:val="19"/>
                <w:szCs w:val="19"/>
              </w:rPr>
              <w:t xml:space="preserve">Change Control</w:t>
            </w:r>
          </w:p>
        </w:tc>
        <w:tc>
          <w:tcPr>
            <w:tcW w:type="dxa" w:w="6946"/>
            <w:tcBorders>
              <w:top w:val="single" w:color="D0D4DC" w:sz="4"/>
              <w:left w:val="single" w:color="D0D4DC" w:sz="4"/>
              <w:bottom w:val="single" w:color="D0D4DC" w:sz="4"/>
              <w:right w:val="single" w:color="D0D4DC" w:sz="4"/>
            </w:tcBorders>
            <w:shd w:fill="F2F4F7" w:val="clear"/>
            <w:tcMar>
              <w:top w:type="dxa" w:w="100"/>
              <w:left w:type="dxa" w:w="120"/>
              <w:bottom w:type="dxa" w:w="100"/>
              <w:right w:type="dxa" w:w="120"/>
            </w:tcMar>
            <w:vAlign w:val="top"/>
          </w:tcPr>
          <w:p>
            <w:pPr>
              <w:spacing w:after="60" w:before="60"/>
              <w:jc w:val="left"/>
            </w:pPr>
            <w:r>
              <w:rPr>
                <w:rFonts w:ascii="Calibri" w:cs="Calibri" w:eastAsia="Calibri" w:hAnsi="Calibri"/>
                <w:color w:val="1A1A2E"/>
                <w:sz w:val="19"/>
                <w:szCs w:val="19"/>
              </w:rPr>
              <w:t xml:space="preserve">Any modification that alters normative schema or requirements MUST trigger a new major standard identifier. Clarifications that do not change requirements MAY be published as minor revisions (e.g., DACT-STD-1.0.1).</w:t>
            </w:r>
          </w:p>
        </w:tc>
      </w:tr>
      <w:tr>
        <w:tc>
          <w:tcPr>
            <w:tcW w:type="dxa" w:w="2800"/>
            <w:tcBorders>
              <w:top w:val="single" w:color="D0D4DC" w:sz="4"/>
              <w:left w:val="single" w:color="D0D4DC" w:sz="4"/>
              <w:bottom w:val="single" w:color="D0D4DC" w:sz="4"/>
              <w:right w:val="single" w:color="D0D4DC" w:sz="4"/>
            </w:tcBorders>
            <w:shd w:fill="F8F9FB" w:val="clear"/>
            <w:tcMar>
              <w:top w:type="dxa" w:w="100"/>
              <w:left w:type="dxa" w:w="120"/>
              <w:bottom w:type="dxa" w:w="100"/>
              <w:right w:type="dxa" w:w="120"/>
            </w:tcMar>
            <w:vAlign w:val="top"/>
          </w:tcPr>
          <w:p>
            <w:pPr>
              <w:spacing w:after="60" w:before="60"/>
              <w:jc w:val="left"/>
            </w:pPr>
            <w:r>
              <w:rPr>
                <w:rFonts w:ascii="Calibri" w:cs="Calibri" w:eastAsia="Calibri" w:hAnsi="Calibri"/>
                <w:b/>
                <w:bCs/>
                <w:color w:val="0D1E3A"/>
                <w:sz w:val="19"/>
                <w:szCs w:val="19"/>
              </w:rPr>
              <w:t xml:space="preserve">Classification</w:t>
            </w:r>
          </w:p>
        </w:tc>
        <w:tc>
          <w:tcPr>
            <w:tcW w:type="dxa" w:w="6946"/>
            <w:tcBorders>
              <w:top w:val="single" w:color="D0D4DC" w:sz="4"/>
              <w:left w:val="single" w:color="D0D4DC" w:sz="4"/>
              <w:bottom w:val="single" w:color="D0D4DC" w:sz="4"/>
              <w:right w:val="single" w:color="D0D4DC" w:sz="4"/>
            </w:tcBorders>
            <w:shd w:fill="FFFFFF" w:val="clear"/>
            <w:tcMar>
              <w:top w:type="dxa" w:w="100"/>
              <w:left w:type="dxa" w:w="120"/>
              <w:bottom w:type="dxa" w:w="100"/>
              <w:right w:type="dxa" w:w="120"/>
            </w:tcMar>
            <w:vAlign w:val="top"/>
          </w:tcPr>
          <w:p>
            <w:pPr>
              <w:spacing w:after="60" w:before="60"/>
              <w:jc w:val="left"/>
            </w:pPr>
            <w:r>
              <w:rPr>
                <w:rFonts w:ascii="Calibri" w:cs="Calibri" w:eastAsia="Calibri" w:hAnsi="Calibri"/>
                <w:color w:val="1A1A2E"/>
                <w:sz w:val="19"/>
                <w:szCs w:val="19"/>
              </w:rPr>
              <w:t xml:space="preserve">CONFIDENTIAL — Authorised personnel, regulatory counterparties, and integration partners only.</w:t>
            </w:r>
          </w:p>
        </w:tc>
      </w:tr>
      <w:tr>
        <w:tc>
          <w:tcPr>
            <w:tcW w:type="dxa" w:w="2800"/>
            <w:tcBorders>
              <w:top w:val="single" w:color="D0D4DC" w:sz="4"/>
              <w:left w:val="single" w:color="D0D4DC" w:sz="4"/>
              <w:bottom w:val="single" w:color="D0D4DC" w:sz="4"/>
              <w:right w:val="single" w:color="D0D4DC" w:sz="4"/>
            </w:tcBorders>
            <w:shd w:fill="EEF2F8" w:val="clear"/>
            <w:tcMar>
              <w:top w:type="dxa" w:w="100"/>
              <w:left w:type="dxa" w:w="120"/>
              <w:bottom w:type="dxa" w:w="100"/>
              <w:right w:type="dxa" w:w="120"/>
            </w:tcMar>
            <w:vAlign w:val="top"/>
          </w:tcPr>
          <w:p>
            <w:pPr>
              <w:spacing w:after="60" w:before="60"/>
              <w:jc w:val="left"/>
            </w:pPr>
            <w:r>
              <w:rPr>
                <w:rFonts w:ascii="Calibri" w:cs="Calibri" w:eastAsia="Calibri" w:hAnsi="Calibri"/>
                <w:b/>
                <w:bCs/>
                <w:color w:val="0D1E3A"/>
                <w:sz w:val="19"/>
                <w:szCs w:val="19"/>
              </w:rPr>
              <w:t xml:space="preserve">Copyright</w:t>
            </w:r>
          </w:p>
        </w:tc>
        <w:tc>
          <w:tcPr>
            <w:tcW w:type="dxa" w:w="6946"/>
            <w:tcBorders>
              <w:top w:val="single" w:color="D0D4DC" w:sz="4"/>
              <w:left w:val="single" w:color="D0D4DC" w:sz="4"/>
              <w:bottom w:val="single" w:color="D0D4DC" w:sz="4"/>
              <w:right w:val="single" w:color="D0D4DC" w:sz="4"/>
            </w:tcBorders>
            <w:shd w:fill="F2F4F7" w:val="clear"/>
            <w:tcMar>
              <w:top w:type="dxa" w:w="100"/>
              <w:left w:type="dxa" w:w="120"/>
              <w:bottom w:type="dxa" w:w="100"/>
              <w:right w:type="dxa" w:w="120"/>
            </w:tcMar>
            <w:vAlign w:val="top"/>
          </w:tcPr>
          <w:p>
            <w:pPr>
              <w:spacing w:after="60" w:before="60"/>
              <w:jc w:val="left"/>
            </w:pPr>
            <w:r>
              <w:rPr>
                <w:rFonts w:ascii="Calibri" w:cs="Calibri" w:eastAsia="Calibri" w:hAnsi="Calibri"/>
                <w:color w:val="1A1A2E"/>
                <w:sz w:val="19"/>
                <w:szCs w:val="19"/>
              </w:rPr>
              <w:t xml:space="preserve">© 2026 Stratalink Labs Ltd. All rights reserved.</w:t>
            </w:r>
          </w:p>
        </w:tc>
      </w:tr>
    </w:tbl>
    <w:p>
      <w:pPr>
        <w:spacing w:after="200" w:before="200"/>
      </w:pP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4DC" w:sz="4" w:space="1"/>
      </w:pBdr>
      <w:tabs>
        <w:tab w:val="right" w:pos="9746"/>
      </w:tabs>
      <w:spacing w:after="0" w:before="60"/>
    </w:pPr>
    <w:r>
      <w:rPr>
        <w:rFonts w:ascii="Calibri" w:cs="Calibri" w:eastAsia="Calibri" w:hAnsi="Calibri"/>
        <w:color w:val="6B7280"/>
        <w:sz w:val="16"/>
        <w:szCs w:val="16"/>
      </w:rPr>
      <w:t xml:space="preserve">Version 1.0  |  April 2026  |  CONFIDENTIAL — Not for Distribution</w:t>
    </w:r>
    <w:r>
      <w:rPr>
        <w:rFonts w:ascii="Calibri" w:cs="Calibri" w:eastAsia="Calibri" w:hAnsi="Calibri"/>
        <w:color w:val="6B7280"/>
        <w:sz w:val="16"/>
        <w:szCs w:val="16"/>
      </w:rPr>
      <w:t xml:space="preserve">	Page </w:t>
    </w:r>
    <w:r>
      <w:rPr>
        <w:rFonts w:ascii="Calibri" w:cs="Calibri" w:eastAsia="Calibri" w:hAnsi="Calibri"/>
        <w:color w:val="0D1E3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8A" w:sz="6" w:space="1"/>
      </w:pBdr>
      <w:tabs>
        <w:tab w:val="right" w:pos="9746"/>
      </w:tabs>
      <w:spacing w:after="60" w:before="0"/>
    </w:pPr>
    <w:r>
      <w:rPr>
        <w:rFonts w:ascii="Calibri" w:cs="Calibri" w:eastAsia="Calibri" w:hAnsi="Calibri"/>
        <w:b/>
        <w:bCs/>
        <w:color w:val="0D1E3A"/>
        <w:sz w:val="16"/>
        <w:szCs w:val="16"/>
      </w:rPr>
      <w:t xml:space="preserve">DACT-STD-1.0  |  Digital Assets Consolidated Tape Standard  |  CONFIDENTIAL</w:t>
    </w:r>
    <w:r>
      <w:rPr>
        <w:rFonts w:ascii="Calibri" w:cs="Calibri" w:eastAsia="Calibri" w:hAnsi="Calibri"/>
        <w:sz w:val="16"/>
        <w:szCs w:val="16"/>
      </w:rPr>
      <w:t xml:space="preserve">	</w:t>
    </w:r>
    <w:r>
      <w:rPr>
        <w:rFonts w:ascii="Calibri" w:cs="Calibri" w:eastAsia="Calibri" w:hAnsi="Calibri"/>
        <w:color w:val="6B7280"/>
        <w:sz w:val="16"/>
        <w:szCs w:val="16"/>
      </w:rPr>
      <w:t xml:space="preserve">© 2026 Stratalink Labs Ltd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Calibri" w:cs="Calibri" w:eastAsia="Calibri" w:hAnsi="Calibri"/>
      <w:b/>
      <w:bCs/>
      <w:color w:val="0D1E3A"/>
      <w:sz w:val="28"/>
      <w:szCs w:val="28"/>
    </w:rPr>
  </w:style>
  <w:style w:type="paragraph" w:styleId="Heading2">
    <w:name w:val="Heading 2"/>
    <w:basedOn w:val="Normal"/>
    <w:next w:val="Normal"/>
    <w:qFormat/>
    <w:pPr>
      <w:spacing w:after="80" w:before="220"/>
      <w:outlineLvl w:val="1"/>
    </w:pPr>
    <w:rPr>
      <w:rFonts w:ascii="Calibri" w:cs="Calibri" w:eastAsia="Calibri" w:hAnsi="Calibri"/>
      <w:b/>
      <w:bCs/>
      <w:color w:val="1B4F8A"/>
      <w:sz w:val="24"/>
      <w:szCs w:val="24"/>
    </w:rPr>
  </w:style>
  <w:style w:type="paragraph" w:styleId="Heading3">
    <w:name w:val="Heading 3"/>
    <w:basedOn w:val="Normal"/>
    <w:next w:val="Normal"/>
    <w:qFormat/>
    <w:pPr>
      <w:spacing w:after="60" w:before="160"/>
      <w:outlineLvl w:val="2"/>
    </w:pPr>
    <w:rPr>
      <w:rFonts w:ascii="Calibri" w:cs="Calibri" w:eastAsia="Calibri" w:hAnsi="Calibri"/>
      <w:b/>
      <w:bCs/>
      <w:color w:val="1A7A8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2026-04-29T10:48:03.466Z</dcterms:created>
  <dcterms:modified xsi:type="dcterms:W3CDTF">2026-04-29T10:48:03.467Z</dcterms:modified>
</cp:coreProperties>
</file>

<file path=docProps/custom.xml><?xml version="1.0" encoding="utf-8"?>
<Properties xmlns="http://schemas.openxmlformats.org/officeDocument/2006/custom-properties" xmlns:vt="http://schemas.openxmlformats.org/officeDocument/2006/docPropsVTypes"/>
</file>