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pPr>
      <w:r>
        <w:rPr>
          <w:color w:val="808080"/>
          <w:sz w:val="17"/>
          <w:szCs w:val="17"/>
        </w:rPr>
        <w:t xml:space="preserve">Stratalink Labs Ltd - CONFIDENTIAL</w:t>
      </w:r>
    </w:p>
    <w:p>
      <w:pPr>
        <w:spacing w:after="60"/>
      </w:pPr>
      <w:r>
        <w:rPr>
          <w:b/>
          <w:bCs/>
          <w:color w:val="1F3864"/>
          <w:sz w:val="34"/>
          <w:szCs w:val="34"/>
        </w:rPr>
        <w:t xml:space="preserve">PoLi Operations Runbook</w:t>
      </w:r>
    </w:p>
    <w:p>
      <w:pPr>
        <w:spacing w:after="120"/>
      </w:pPr>
      <w:r>
        <w:rPr>
          <w:b/>
          <w:bCs/>
          <w:color w:val="1F3864"/>
          <w:sz w:val="24"/>
          <w:szCs w:val="24"/>
        </w:rPr>
        <w:t xml:space="preserve">Oracle Adapter and Canton Validator Node</w:t>
      </w:r>
    </w:p>
    <w:p>
      <w:pPr>
        <w:spacing w:after="140"/>
      </w:pPr>
      <w:r>
        <w:rPr>
          <w:color w:val="595959"/>
          <w:sz w:val="19"/>
          <w:szCs w:val="19"/>
        </w:rPr>
        <w:t xml:space="preserve">Reference: PoLi-RUN-01 v0.1   |   Date: 13 July 2026   |   Owner: Rob McDermott</w:t>
      </w:r>
    </w:p>
    <w:p>
      <w:pPr>
        <w:pBdr>
          <w:bottom w:val="single" w:color="BFBFBF" w:sz="6"/>
        </w:pBdr>
        <w:spacing w:after="180"/>
      </w:pPr>
      <w:r>
        <w:t xml:space="preserve"/>
      </w:r>
    </w:p>
    <w:p>
      <w:pPr>
        <w:pStyle w:val="Heading1"/>
        <w:spacing w:after="140" w:before="260"/>
      </w:pPr>
      <w:r>
        <w:rPr>
          <w:b/>
          <w:bCs/>
        </w:rPr>
        <w:t xml:space="preserve">0. Read this before relying on anything below</w:t>
      </w:r>
    </w:p>
    <w:p>
      <w:pPr>
        <w:spacing w:after="14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E9E9" w:val="clear"/>
            <w:tcMar>
              <w:top w:type="dxa" w:w="130"/>
              <w:left w:type="dxa" w:w="150"/>
              <w:bottom w:type="dxa" w:w="130"/>
              <w:right w:type="dxa" w:w="150"/>
            </w:tcMar>
          </w:tcPr>
          <w:p>
            <w:pPr>
              <w:spacing w:after="60"/>
            </w:pPr>
            <w:r>
              <w:rPr>
                <w:b/>
                <w:bCs/>
                <w:sz w:val="22"/>
                <w:szCs w:val="22"/>
              </w:rPr>
              <w:t xml:space="preserve">This runbook does not yet describe how to operate PoLi in production, because nobody knows.</w:t>
            </w:r>
          </w:p>
          <w:p>
            <w:pPr>
              <w:spacing w:after="60"/>
            </w:pPr>
            <w:r>
              <w:rPr>
                <w:b w:val="false"/>
                <w:bCs w:val="false"/>
                <w:sz w:val="20"/>
                <w:szCs w:val="20"/>
              </w:rPr>
              <w:t xml:space="preserve">The Oracle Adapter has never run against DevNet. MainNet key management is held pending an open defect. Every procedure below that is marked UNKNOWN is genuinely unknown, and is not a placeholder for something that exists elsewhere.</w:t>
            </w:r>
          </w:p>
          <w:p>
            <w:pPr>
              <w:spacing w:after="60"/>
            </w:pPr>
            <w:r>
              <w:rPr>
                <w:b w:val="false"/>
                <w:bCs w:val="false"/>
                <w:sz w:val="20"/>
                <w:szCs w:val="20"/>
              </w:rPr>
              <w:t xml:space="preserve">What this document does contain is everything that has actually been learned by running the system, and an honest map of where the gaps are. It is a skeleton for PoLi-DEV-01 to write its answers back into. Treat an UNKNOWN as a warning, not as an omission to be tidied up.</w:t>
            </w:r>
          </w:p>
        </w:tc>
      </w:tr>
    </w:tbl>
    <w:p>
      <w:pPr>
        <w:spacing w:after="140"/>
      </w:pPr>
      <w:r>
        <w:rPr>
          <w:sz w:val="21"/>
          <w:szCs w:val="21"/>
        </w:rPr>
        <w:t xml:space="preserve"/>
      </w:r>
    </w:p>
    <w:p>
      <w:pPr>
        <w:spacing w:after="140"/>
      </w:pPr>
      <w:r>
        <w:rPr>
          <w:b/>
          <w:bCs/>
          <w:sz w:val="21"/>
          <w:szCs w:val="21"/>
        </w:rPr>
        <w:t xml:space="preserve">Nothing in this runbook should be used to justify a MainNet operation. MainNet is out of scope until DevNet is proven and PoLi-DEF-01 is resolved.</w:t>
      </w:r>
    </w:p>
    <w:p>
      <w:pPr>
        <w:pStyle w:val="Heading1"/>
        <w:spacing w:after="140" w:before="260"/>
      </w:pPr>
      <w:r>
        <w:rPr>
          <w:b/>
          <w:bCs/>
        </w:rPr>
        <w:t xml:space="preserve">1. Scope and division of responsibility</w:t>
      </w:r>
    </w:p>
    <w:p>
      <w:pPr>
        <w:spacing w:after="140"/>
      </w:pPr>
      <w:r>
        <w:rPr>
          <w:sz w:val="21"/>
          <w:szCs w:val="21"/>
        </w:rPr>
        <w:t xml:space="preserve">Two systems are covered, and they are not owned in the same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DCE6F1" w:val="clear"/>
            <w:tcMar>
              <w:top w:type="dxa" w:w="70"/>
              <w:left w:type="dxa" w:w="90"/>
              <w:bottom w:type="dxa" w:w="70"/>
              <w:right w:type="dxa" w:w="90"/>
            </w:tcMar>
          </w:tcPr>
          <w:p>
            <w:r>
              <w:rPr>
                <w:b/>
                <w:bCs/>
                <w:sz w:val="17"/>
                <w:szCs w:val="17"/>
              </w:rPr>
              <w:t xml:space="preserve">System</w:t>
            </w:r>
          </w:p>
        </w:tc>
        <w:tc>
          <w:tcPr>
            <w:tcW w:type="dxa" w:w="3200"/>
            <w:shd w:fill="DCE6F1" w:val="clear"/>
            <w:tcMar>
              <w:top w:type="dxa" w:w="70"/>
              <w:left w:type="dxa" w:w="90"/>
              <w:bottom w:type="dxa" w:w="70"/>
              <w:right w:type="dxa" w:w="90"/>
            </w:tcMar>
          </w:tcPr>
          <w:p>
            <w:r>
              <w:rPr>
                <w:b/>
                <w:bCs/>
                <w:sz w:val="17"/>
                <w:szCs w:val="17"/>
              </w:rPr>
              <w:t xml:space="preserve">Owner</w:t>
            </w:r>
          </w:p>
        </w:tc>
        <w:tc>
          <w:tcPr>
            <w:tcW w:type="dxa" w:w="3560"/>
            <w:shd w:fill="DCE6F1" w:val="clear"/>
            <w:tcMar>
              <w:top w:type="dxa" w:w="70"/>
              <w:left w:type="dxa" w:w="90"/>
              <w:bottom w:type="dxa" w:w="70"/>
              <w:right w:type="dxa" w:w="90"/>
            </w:tcMar>
          </w:tcPr>
          <w:p>
            <w:r>
              <w:rPr>
                <w:b/>
                <w:bCs/>
                <w:sz w:val="17"/>
                <w:szCs w:val="17"/>
              </w:rPr>
              <w:t xml:space="preserve">Notes</w:t>
            </w:r>
          </w:p>
        </w:tc>
      </w:tr>
      <w:tr>
        <w:trPr>
          <w:tblHeader w:val="false"/>
        </w:trPr>
        <w:tc>
          <w:tcPr>
            <w:tcW w:type="dxa" w:w="2600"/>
            <w:tcMar>
              <w:top w:type="dxa" w:w="70"/>
              <w:left w:type="dxa" w:w="90"/>
              <w:bottom w:type="dxa" w:w="70"/>
              <w:right w:type="dxa" w:w="90"/>
            </w:tcMar>
          </w:tcPr>
          <w:p>
            <w:r>
              <w:rPr>
                <w:b w:val="false"/>
                <w:bCs w:val="false"/>
                <w:sz w:val="17"/>
                <w:szCs w:val="17"/>
              </w:rPr>
              <w:t xml:space="preserve">PoLi Oracle Adapter</w:t>
            </w:r>
          </w:p>
        </w:tc>
        <w:tc>
          <w:tcPr>
            <w:tcW w:type="dxa" w:w="3200"/>
            <w:tcMar>
              <w:top w:type="dxa" w:w="70"/>
              <w:left w:type="dxa" w:w="90"/>
              <w:bottom w:type="dxa" w:w="70"/>
              <w:right w:type="dxa" w:w="90"/>
            </w:tcMar>
          </w:tcPr>
          <w:p>
            <w:r>
              <w:rPr>
                <w:b w:val="false"/>
                <w:bCs w:val="false"/>
                <w:sz w:val="17"/>
                <w:szCs w:val="17"/>
              </w:rPr>
              <w:t xml:space="preserve">Stratalink</w:t>
            </w:r>
          </w:p>
        </w:tc>
        <w:tc>
          <w:tcPr>
            <w:tcW w:type="dxa" w:w="3560"/>
            <w:tcMar>
              <w:top w:type="dxa" w:w="70"/>
              <w:left w:type="dxa" w:w="90"/>
              <w:bottom w:type="dxa" w:w="70"/>
              <w:right w:type="dxa" w:w="90"/>
            </w:tcMar>
          </w:tcPr>
          <w:p>
            <w:r>
              <w:rPr>
                <w:b w:val="false"/>
                <w:bCs w:val="false"/>
                <w:sz w:val="17"/>
                <w:szCs w:val="17"/>
              </w:rPr>
              <w:t xml:space="preserve">Built in-house in TypeScript and Node.js. Stratalink owns operation, monitoring and recovery entirely.</w:t>
            </w:r>
          </w:p>
        </w:tc>
      </w:tr>
      <w:tr>
        <w:trPr>
          <w:tblHeader w:val="false"/>
        </w:trPr>
        <w:tc>
          <w:tcPr>
            <w:tcW w:type="dxa" w:w="2600"/>
            <w:tcMar>
              <w:top w:type="dxa" w:w="70"/>
              <w:left w:type="dxa" w:w="90"/>
              <w:bottom w:type="dxa" w:w="70"/>
              <w:right w:type="dxa" w:w="90"/>
            </w:tcMar>
          </w:tcPr>
          <w:p>
            <w:r>
              <w:rPr>
                <w:b w:val="false"/>
                <w:bCs w:val="false"/>
                <w:sz w:val="17"/>
                <w:szCs w:val="17"/>
              </w:rPr>
              <w:t xml:space="preserve">Canton validator node</w:t>
            </w:r>
          </w:p>
        </w:tc>
        <w:tc>
          <w:tcPr>
            <w:tcW w:type="dxa" w:w="3200"/>
            <w:tcMar>
              <w:top w:type="dxa" w:w="70"/>
              <w:left w:type="dxa" w:w="90"/>
              <w:bottom w:type="dxa" w:w="70"/>
              <w:right w:type="dxa" w:w="90"/>
            </w:tcMar>
          </w:tcPr>
          <w:p>
            <w:r>
              <w:rPr>
                <w:b w:val="false"/>
                <w:bCs w:val="false"/>
                <w:sz w:val="17"/>
                <w:szCs w:val="17"/>
              </w:rPr>
              <w:t xml:space="preserve">IntellectEU (Catalyst)</w:t>
            </w:r>
          </w:p>
        </w:tc>
        <w:tc>
          <w:tcPr>
            <w:tcW w:type="dxa" w:w="3560"/>
            <w:tcMar>
              <w:top w:type="dxa" w:w="70"/>
              <w:left w:type="dxa" w:w="90"/>
              <w:bottom w:type="dxa" w:w="70"/>
              <w:right w:type="dxa" w:w="90"/>
            </w:tcMar>
          </w:tcPr>
          <w:p>
            <w:r>
              <w:rPr>
                <w:b w:val="false"/>
                <w:bCs w:val="false"/>
                <w:sz w:val="17"/>
                <w:szCs w:val="17"/>
              </w:rPr>
              <w:t xml:space="preserve">Hosted via Catalyst Blockchain Manager. Under the SOW, deployment guidelines, documentation and support for the validator node, including Daml artifact deployment and identity and access management, are the responsibility of the validator node management provider.</w:t>
            </w:r>
          </w:p>
        </w:tc>
      </w:tr>
      <w:tr>
        <w:trPr>
          <w:tblHeader w:val="false"/>
        </w:trPr>
        <w:tc>
          <w:tcPr>
            <w:tcW w:type="dxa" w:w="2600"/>
            <w:tcMar>
              <w:top w:type="dxa" w:w="70"/>
              <w:left w:type="dxa" w:w="90"/>
              <w:bottom w:type="dxa" w:w="70"/>
              <w:right w:type="dxa" w:w="90"/>
            </w:tcMar>
          </w:tcPr>
          <w:p>
            <w:r>
              <w:rPr>
                <w:b w:val="false"/>
                <w:bCs w:val="false"/>
                <w:sz w:val="17"/>
                <w:szCs w:val="17"/>
              </w:rPr>
              <w:t xml:space="preserve">PoLi Daml contracts</w:t>
            </w:r>
          </w:p>
        </w:tc>
        <w:tc>
          <w:tcPr>
            <w:tcW w:type="dxa" w:w="3200"/>
            <w:tcMar>
              <w:top w:type="dxa" w:w="70"/>
              <w:left w:type="dxa" w:w="90"/>
              <w:bottom w:type="dxa" w:w="70"/>
              <w:right w:type="dxa" w:w="90"/>
            </w:tcMar>
          </w:tcPr>
          <w:p>
            <w:r>
              <w:rPr>
                <w:b w:val="false"/>
                <w:bCs w:val="false"/>
                <w:sz w:val="17"/>
                <w:szCs w:val="17"/>
              </w:rPr>
              <w:t xml:space="preserve">IntellectEU, pending</w:t>
            </w:r>
          </w:p>
        </w:tc>
        <w:tc>
          <w:tcPr>
            <w:tcW w:type="dxa" w:w="3560"/>
            <w:tcMar>
              <w:top w:type="dxa" w:w="70"/>
              <w:left w:type="dxa" w:w="90"/>
              <w:bottom w:type="dxa" w:w="70"/>
              <w:right w:type="dxa" w:w="90"/>
            </w:tcMar>
          </w:tcPr>
          <w:p>
            <w:r>
              <w:rPr>
                <w:b w:val="false"/>
                <w:bCs w:val="false"/>
                <w:sz w:val="17"/>
                <w:szCs w:val="17"/>
              </w:rPr>
              <w:t xml:space="preserve">IP assigns to Stratalink on full payment under Amendment A1. Two defects are currently open under PoLi-DEF-01. Stratalink does NOT modify these.</w:t>
            </w:r>
          </w:p>
        </w:tc>
      </w:tr>
    </w:tbl>
    <w:p>
      <w:pPr>
        <w:spacing w:after="140"/>
      </w:pPr>
      <w:r>
        <w:rPr>
          <w:sz w:val="21"/>
          <w:szCs w:val="21"/>
        </w:rPr>
        <w:t xml:space="preserve"/>
      </w:r>
    </w:p>
    <w:p>
      <w:pPr>
        <w:spacing w:after="140"/>
      </w:pPr>
      <w:r>
        <w:rPr>
          <w:b/>
          <w:bCs/>
          <w:sz w:val="21"/>
          <w:szCs w:val="21"/>
        </w:rPr>
        <w:t xml:space="preserve">The practical consequence: when the validator node misbehaves, the first call is IntellectEU, not a Stratalink procedure. This runbook does not attempt to document Catalyst internals and should not be extended to do so.</w:t>
      </w:r>
    </w:p>
    <w:p>
      <w:pPr>
        <w:pStyle w:val="Heading1"/>
        <w:spacing w:after="140" w:before="260"/>
      </w:pPr>
      <w:r>
        <w:rPr>
          <w:b/>
          <w:bCs/>
        </w:rPr>
        <w:t xml:space="preserve">2. Oracle Adapter: what it is and what it does</w:t>
      </w:r>
    </w:p>
    <w:p>
      <w:pPr>
        <w:spacing w:after="140"/>
      </w:pPr>
      <w:r>
        <w:rPr>
          <w:sz w:val="21"/>
          <w:szCs w:val="21"/>
        </w:rPr>
        <w:t xml:space="preserve">The adapter polls the ledger for AttestationRequest contracts, decides what to do with each, and acts. It reconciles from the ledger on every cycle rather than trusting memory. The governing principle is that the ledger is truth and memory is cache.</w:t>
      </w:r>
    </w:p>
    <w:p>
      <w:pPr>
        <w:spacing w:after="140"/>
      </w:pPr>
      <w:r>
        <w:rPr>
          <w:sz w:val="21"/>
          <w:szCs w:val="21"/>
        </w:rPr>
        <w:t xml:space="preserve">It has exactly three outcomes, and the distinction between them is doctrine rather than implementation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shd w:fill="DCE6F1" w:val="clear"/>
            <w:tcMar>
              <w:top w:type="dxa" w:w="70"/>
              <w:left w:type="dxa" w:w="90"/>
              <w:bottom w:type="dxa" w:w="70"/>
              <w:right w:type="dxa" w:w="90"/>
            </w:tcMar>
          </w:tcPr>
          <w:p>
            <w:r>
              <w:rPr>
                <w:b/>
                <w:bCs/>
                <w:sz w:val="17"/>
                <w:szCs w:val="17"/>
              </w:rPr>
              <w:t xml:space="preserve">Outcome</w:t>
            </w:r>
          </w:p>
        </w:tc>
        <w:tc>
          <w:tcPr>
            <w:tcW w:type="dxa" w:w="7860"/>
            <w:shd w:fill="DCE6F1" w:val="clear"/>
            <w:tcMar>
              <w:top w:type="dxa" w:w="70"/>
              <w:left w:type="dxa" w:w="90"/>
              <w:bottom w:type="dxa" w:w="70"/>
              <w:right w:type="dxa" w:w="90"/>
            </w:tcMar>
          </w:tcPr>
          <w:p>
            <w:r>
              <w:rPr>
                <w:b/>
                <w:bCs/>
                <w:sz w:val="17"/>
                <w:szCs w:val="17"/>
              </w:rPr>
              <w:t xml:space="preserve">Meaning and when it applies</w:t>
            </w:r>
          </w:p>
        </w:tc>
      </w:tr>
      <w:tr>
        <w:trPr>
          <w:tblHeader w:val="false"/>
        </w:trPr>
        <w:tc>
          <w:tcPr>
            <w:tcW w:type="dxa" w:w="1500"/>
            <w:tcMar>
              <w:top w:type="dxa" w:w="70"/>
              <w:left w:type="dxa" w:w="90"/>
              <w:bottom w:type="dxa" w:w="70"/>
              <w:right w:type="dxa" w:w="90"/>
            </w:tcMar>
          </w:tcPr>
          <w:p>
            <w:r>
              <w:rPr>
                <w:b w:val="false"/>
                <w:bCs w:val="false"/>
                <w:sz w:val="17"/>
                <w:szCs w:val="17"/>
              </w:rPr>
              <w:t xml:space="preserve">ATTEST</w:t>
            </w:r>
          </w:p>
        </w:tc>
        <w:tc>
          <w:tcPr>
            <w:tcW w:type="dxa" w:w="7860"/>
            <w:tcMar>
              <w:top w:type="dxa" w:w="70"/>
              <w:left w:type="dxa" w:w="90"/>
              <w:bottom w:type="dxa" w:w="70"/>
              <w:right w:type="dxa" w:w="90"/>
            </w:tcMar>
          </w:tcPr>
          <w:p>
            <w:r>
              <w:rPr>
                <w:b w:val="false"/>
                <w:bCs w:val="false"/>
                <w:sz w:val="17"/>
                <w:szCs w:val="17"/>
              </w:rPr>
              <w:t xml:space="preserve">The Oracle can form a view and can honestly record how. A PoLiAttestation is written and signed. Note that a request with insufficient data is still ATTESTED, with a None rating. Data sparsity is a fact about the market, and the attestation says so.</w:t>
            </w:r>
          </w:p>
        </w:tc>
      </w:tr>
      <w:tr>
        <w:trPr>
          <w:tblHeader w:val="false"/>
        </w:trPr>
        <w:tc>
          <w:tcPr>
            <w:tcW w:type="dxa" w:w="1500"/>
            <w:tcMar>
              <w:top w:type="dxa" w:w="70"/>
              <w:left w:type="dxa" w:w="90"/>
              <w:bottom w:type="dxa" w:w="70"/>
              <w:right w:type="dxa" w:w="90"/>
            </w:tcMar>
          </w:tcPr>
          <w:p>
            <w:r>
              <w:rPr>
                <w:b w:val="false"/>
                <w:bCs w:val="false"/>
                <w:sz w:val="17"/>
                <w:szCs w:val="17"/>
              </w:rPr>
              <w:t xml:space="preserve">REJECT</w:t>
            </w:r>
          </w:p>
        </w:tc>
        <w:tc>
          <w:tcPr>
            <w:tcW w:type="dxa" w:w="7860"/>
            <w:tcMar>
              <w:top w:type="dxa" w:w="70"/>
              <w:left w:type="dxa" w:w="90"/>
              <w:bottom w:type="dxa" w:w="70"/>
              <w:right w:type="dxa" w:w="90"/>
            </w:tcMar>
          </w:tcPr>
          <w:p>
            <w:r>
              <w:rPr>
                <w:b w:val="false"/>
                <w:bCs w:val="false"/>
                <w:sz w:val="17"/>
                <w:szCs w:val="17"/>
              </w:rPr>
              <w:t xml:space="preserve">The Oracle cannot form a view at all. A RejectedAttestationRequest is written with a coded reason. A rejection is a statement about STRATALINK, not about the market. Coverage failure is ours.</w:t>
            </w:r>
          </w:p>
        </w:tc>
      </w:tr>
      <w:tr>
        <w:trPr>
          <w:tblHeader w:val="false"/>
        </w:trPr>
        <w:tc>
          <w:tcPr>
            <w:tcW w:type="dxa" w:w="1500"/>
            <w:tcMar>
              <w:top w:type="dxa" w:w="70"/>
              <w:left w:type="dxa" w:w="90"/>
              <w:bottom w:type="dxa" w:w="70"/>
              <w:right w:type="dxa" w:w="90"/>
            </w:tcMar>
          </w:tcPr>
          <w:p>
            <w:r>
              <w:rPr>
                <w:b w:val="false"/>
                <w:bCs w:val="false"/>
                <w:sz w:val="17"/>
                <w:szCs w:val="17"/>
              </w:rPr>
              <w:t xml:space="preserve">PARK</w:t>
            </w:r>
          </w:p>
        </w:tc>
        <w:tc>
          <w:tcPr>
            <w:tcW w:type="dxa" w:w="7860"/>
            <w:tcMar>
              <w:top w:type="dxa" w:w="70"/>
              <w:left w:type="dxa" w:w="90"/>
              <w:bottom w:type="dxa" w:w="70"/>
              <w:right w:type="dxa" w:w="90"/>
            </w:tcMar>
          </w:tcPr>
          <w:p>
            <w:r>
              <w:rPr>
                <w:b w:val="false"/>
                <w:bCs w:val="false"/>
                <w:sz w:val="17"/>
                <w:szCs w:val="17"/>
              </w:rPr>
              <w:t xml:space="preserve">The Oracle can form a view but cannot honestly record how. Nothing is written on-ledger. The request is left active and the decision is recorded in the backlog. Currently applies to the eight tokenised RWA symbols covered only by synthetic venues. A parked request is recoverable. A wrong rejection is not.</w:t>
            </w:r>
          </w:p>
        </w:tc>
      </w:tr>
    </w:tbl>
    <w:p>
      <w:pPr>
        <w:spacing w:after="140"/>
      </w:pPr>
      <w:r>
        <w:rPr>
          <w:sz w:val="21"/>
          <w:szCs w:val="21"/>
        </w:rPr>
        <w:t xml:space="preserve"/>
      </w:r>
    </w:p>
    <w:p>
      <w:pPr>
        <w:spacing w:after="140"/>
      </w:pPr>
      <w:r>
        <w:rPr>
          <w:b/>
          <w:bCs/>
          <w:sz w:val="21"/>
          <w:szCs w:val="21"/>
        </w:rPr>
        <w:t xml:space="preserve">The only persisted state in the entire adapter is data/parked.json. Everything else is reconstructed from the ledger. If that file is lost, the parked backlog is lost, and those requests will sit active on the ledger with no record of why they were not answered.</w:t>
      </w:r>
    </w:p>
    <w:p>
      <w:pPr>
        <w:pStyle w:val="Heading1"/>
        <w:spacing w:after="140" w:before="260"/>
      </w:pPr>
      <w:r>
        <w:rPr>
          <w:b/>
          <w:bCs/>
        </w:rPr>
        <w:t xml:space="preserve">3. Daily start: local sandbox</w:t>
      </w:r>
    </w:p>
    <w:p>
      <w:pPr>
        <w:spacing w:after="140"/>
      </w:pPr>
      <w:r>
        <w:rPr>
          <w:sz w:val="21"/>
          <w:szCs w:val="21"/>
        </w:rPr>
        <w:t xml:space="preserve">This is the only procedure in this runbook that is fully proven, because it is the only environment the adapter has ever run in.</w:t>
      </w:r>
    </w:p>
    <w:p>
      <w:pPr>
        <w:spacing w:after="140"/>
      </w:pPr>
      <w:r>
        <w:rPr>
          <w:sz w:val="21"/>
          <w:szCs w:val="21"/>
        </w:rPr>
        <w:t xml:space="preserve">The DPM sandbox holds state in memory. Party identifiers are reallocated on every restart. Both of the following must be re-run at the start of every session, without exception.</w:t>
      </w:r>
    </w:p>
    <w:p>
      <w:pPr>
        <w:shd w:fill="F2F2F2" w:val="clear"/>
        <w:spacing w:after="40"/>
        <w:ind w:left="300"/>
      </w:pPr>
      <w:r>
        <w:rPr>
          <w:rFonts w:ascii="Consolas" w:cs="Consolas" w:eastAsia="Consolas" w:hAnsi="Consolas"/>
          <w:sz w:val="17"/>
          <w:szCs w:val="17"/>
        </w:rPr>
        <w:t xml:space="preserve">make setup-local-env</w:t>
      </w:r>
    </w:p>
    <w:p>
      <w:pPr>
        <w:shd w:fill="F2F2F2" w:val="clear"/>
        <w:spacing w:after="40"/>
        <w:ind w:left="300"/>
      </w:pPr>
      <w:r>
        <w:rPr>
          <w:rFonts w:ascii="Consolas" w:cs="Consolas" w:eastAsia="Consolas" w:hAnsi="Consolas"/>
          <w:sz w:val="17"/>
          <w:szCs w:val="17"/>
        </w:rPr>
        <w:t xml:space="preserve">make local-keygen</w:t>
      </w:r>
    </w:p>
    <w:p>
      <w:pPr>
        <w:spacing w:after="140"/>
      </w:pPr>
      <w:r>
        <w:rPr>
          <w:sz w:val="21"/>
          <w:szCs w:val="21"/>
        </w:rPr>
        <w:t xml:space="preserve"/>
      </w:r>
    </w:p>
    <w:p>
      <w:pPr>
        <w:spacing w:after="140"/>
      </w:pPr>
      <w:r>
        <w:rPr>
          <w:b/>
          <w:bCs/>
          <w:sz w:val="21"/>
          <w:szCs w:val="21"/>
        </w:rPr>
        <w:t xml:space="preserve">Then refresh .env. All fifteen keys. This is not optional and it is the single most common cause of lost time.</w:t>
      </w:r>
    </w:p>
    <w:p>
      <w:pPr>
        <w:spacing w:after="140"/>
      </w:pPr>
      <w:r>
        <w:rPr>
          <w:b/>
          <w:bCs/>
          <w:sz w:val="21"/>
          <w:szCs w:val="21"/>
        </w:rPr>
        <w:t xml:space="preserve">The failure mode is silent. A stale party identifier does not produce an error. The poller queries successfully, receives an empty result, and reports that there is nothing outstanding. It looks exactly like a quiet ledger.</w:t>
      </w:r>
    </w:p>
    <w:p>
      <w:pPr>
        <w:spacing w:after="140"/>
      </w:pPr>
      <w:r>
        <w:rPr>
          <w:sz w:val="21"/>
          <w:szCs w:val="21"/>
        </w:rPr>
        <w:t xml:space="preserve">Environment notes that must persist:</w:t>
      </w:r>
    </w:p>
    <w:p>
      <w:pPr>
        <w:shd w:fill="F2F2F2" w:val="clear"/>
        <w:spacing w:after="40"/>
        <w:ind w:left="300"/>
      </w:pPr>
      <w:r>
        <w:rPr>
          <w:rFonts w:ascii="Consolas" w:cs="Consolas" w:eastAsia="Consolas" w:hAnsi="Consolas"/>
          <w:sz w:val="17"/>
          <w:szCs w:val="17"/>
        </w:rPr>
        <w:t xml:space="preserve">export TMPDIR="$HOME/poli-oracle-tmp/"   # must be in ~/.zshrc</w:t>
      </w:r>
    </w:p>
    <w:p>
      <w:pPr>
        <w:spacing w:after="140"/>
      </w:pPr>
      <w:r>
        <w:rPr>
          <w:sz w:val="21"/>
          <w:szCs w:val="21"/>
        </w:rPr>
        <w:t xml:space="preserve"/>
      </w:r>
    </w:p>
    <w:p>
      <w:pPr>
        <w:pStyle w:val="Heading1"/>
        <w:spacing w:after="140" w:before="260"/>
      </w:pPr>
      <w:r>
        <w:rPr>
          <w:b/>
          <w:bCs/>
        </w:rPr>
        <w:t xml:space="preserve">4. Daily start: DevNet</w:t>
      </w:r>
    </w:p>
    <w:p>
      <w:pPr>
        <w:spacing w:after="14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30"/>
              <w:left w:type="dxa" w:w="150"/>
              <w:bottom w:type="dxa" w:w="130"/>
              <w:right w:type="dxa" w:w="150"/>
            </w:tcMar>
          </w:tcPr>
          <w:p>
            <w:pPr>
              <w:spacing w:after="60"/>
            </w:pPr>
            <w:r>
              <w:rPr>
                <w:b/>
                <w:bCs/>
                <w:sz w:val="22"/>
                <w:szCs w:val="22"/>
              </w:rPr>
              <w:t xml:space="preserve">UNKNOWN. Never performed.</w:t>
            </w:r>
          </w:p>
          <w:p>
            <w:pPr>
              <w:spacing w:after="60"/>
            </w:pPr>
            <w:r>
              <w:rPr>
                <w:b w:val="false"/>
                <w:bCs w:val="false"/>
                <w:sz w:val="20"/>
                <w:szCs w:val="20"/>
              </w:rPr>
              <w:t xml:space="preserve">The Keycloak token lifecycle against catalyst-canton-nonprod has never been exercised. This procedure will be written from the results of PoLi-DEV-01 and not before.</w:t>
            </w:r>
          </w:p>
        </w:tc>
      </w:tr>
    </w:tbl>
    <w:p>
      <w:pPr>
        <w:spacing w:after="140"/>
      </w:pPr>
      <w:r>
        <w:rPr>
          <w:sz w:val="21"/>
          <w:szCs w:val="21"/>
        </w:rPr>
        <w:t xml:space="preserve"/>
      </w:r>
    </w:p>
    <w:p>
      <w:pPr>
        <w:spacing w:after="140"/>
      </w:pPr>
      <w:r>
        <w:rPr>
          <w:sz w:val="21"/>
          <w:szCs w:val="21"/>
        </w:rPr>
        <w:t xml:space="preserve">What is known in advance: the adapter as built holds a single token for the lifetime of the process and has no refresh logic, because the sandbox never required any. A Keycloak-issued JWT expires. The adapter will therefore die at the token TTL boundary, and there is currently no code path that recovers from it.</w:t>
      </w:r>
    </w:p>
    <w:p>
      <w:pPr>
        <w:spacing w:after="140"/>
      </w:pPr>
      <w:r>
        <w:rPr>
          <w:b/>
          <w:bCs/>
          <w:sz w:val="21"/>
          <w:szCs w:val="21"/>
        </w:rPr>
        <w:t xml:space="preserve">Do not attempt an unattended DevNet run until DEV-17 has passed.</w:t>
      </w:r>
    </w:p>
    <w:p>
      <w:pPr>
        <w:pStyle w:val="Heading1"/>
        <w:spacing w:after="140" w:before="260"/>
      </w:pPr>
      <w:r>
        <w:rPr>
          <w:b/>
          <w:bCs/>
        </w:rPr>
        <w:t xml:space="preserve">5. Daily start: MainNet</w:t>
      </w:r>
    </w:p>
    <w:p>
      <w:pPr>
        <w:spacing w:after="140"/>
      </w:pPr>
      <w:r>
        <w:rPr>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E9E9" w:val="clear"/>
            <w:tcMar>
              <w:top w:type="dxa" w:w="130"/>
              <w:left w:type="dxa" w:w="150"/>
              <w:bottom w:type="dxa" w:w="130"/>
              <w:right w:type="dxa" w:w="150"/>
            </w:tcMar>
          </w:tcPr>
          <w:p>
            <w:pPr>
              <w:spacing w:after="60"/>
            </w:pPr>
            <w:r>
              <w:rPr>
                <w:b/>
                <w:bCs/>
                <w:sz w:val="22"/>
                <w:szCs w:val="22"/>
              </w:rPr>
              <w:t xml:space="preserve">OUT OF SCOPE. Do not proceed.</w:t>
            </w:r>
          </w:p>
          <w:p>
            <w:pPr>
              <w:spacing w:after="60"/>
            </w:pPr>
            <w:r>
              <w:rPr>
                <w:b w:val="false"/>
                <w:bCs w:val="false"/>
                <w:sz w:val="20"/>
                <w:szCs w:val="20"/>
              </w:rPr>
              <w:t xml:space="preserve">MainNet operation is held pending resolution of PoLi-DEF-01 Finding 1. Until an attestation survives a key rotation, no responsible MainNet key management policy can be written, because the correct response to a suspected key compromise currently destroys the attestation record.</w:t>
            </w:r>
          </w:p>
        </w:tc>
      </w:tr>
    </w:tbl>
    <w:p>
      <w:pPr>
        <w:spacing w:after="140"/>
      </w:pPr>
      <w:r>
        <w:rPr>
          <w:sz w:val="21"/>
          <w:szCs w:val="21"/>
        </w:rPr>
        <w:t xml:space="preserve"/>
      </w:r>
    </w:p>
    <w:p>
      <w:pPr>
        <w:spacing w:after="140"/>
      </w:pPr>
      <w:r>
        <w:rPr>
          <w:b/>
          <w:bCs/>
          <w:sz w:val="21"/>
          <w:szCs w:val="21"/>
        </w:rPr>
        <w:t xml:space="preserve">The validator node went live on Canton MainNet in April 2026, hosted via Catalyst. Validator credentials are sensitive. Party identifiers follow the form stratalink-validator-1::1220cd and are truncated wherever they appear. Never output a full credential string, in any document, log, ticket or message.</w:t>
      </w:r>
    </w:p>
    <w:p>
      <w:pPr>
        <w:pStyle w:val="Heading1"/>
        <w:spacing w:after="140" w:before="260"/>
      </w:pPr>
      <w:r>
        <w:rPr>
          <w:b/>
          <w:bCs/>
        </w:rPr>
        <w:t xml:space="preserve">6. Diagnostics: the failures that have actually happened</w:t>
      </w:r>
    </w:p>
    <w:p>
      <w:pPr>
        <w:spacing w:after="140"/>
      </w:pPr>
      <w:r>
        <w:rPr>
          <w:sz w:val="21"/>
          <w:szCs w:val="21"/>
        </w:rPr>
        <w:t xml:space="preserve">Every entry below has cost real time. They are recorded in order of how often they recur.</w:t>
      </w:r>
    </w:p>
    <w:p>
      <w:pPr>
        <w:pStyle w:val="Heading2"/>
        <w:spacing w:after="140" w:before="260"/>
      </w:pPr>
      <w:r>
        <w:rPr>
          <w:b/>
          <w:bCs/>
        </w:rPr>
        <w:t xml:space="preserve">6.1 The poller says there is nothing outstanding</w:t>
      </w:r>
    </w:p>
    <w:p>
      <w:pPr>
        <w:spacing w:after="140"/>
      </w:pPr>
      <w:r>
        <w:rPr>
          <w:sz w:val="21"/>
          <w:szCs w:val="21"/>
        </w:rPr>
        <w:t xml:space="preserve">Do not believe it. This is almost always a stale party identifier after a sandbox restart, not a quiet ledger. Refresh .env and re-run. Confirm by creating a known request and verifying the poller sees it.</w:t>
      </w:r>
    </w:p>
    <w:p>
      <w:pPr>
        <w:pStyle w:val="Heading2"/>
        <w:spacing w:after="140" w:before="260"/>
      </w:pPr>
      <w:r>
        <w:rPr>
          <w:b/>
          <w:bCs/>
        </w:rPr>
        <w:t xml:space="preserve">6.2 HTTP 400 with an empty body</w:t>
      </w:r>
    </w:p>
    <w:p>
      <w:pPr>
        <w:spacing w:after="140"/>
      </w:pPr>
      <w:r>
        <w:rPr>
          <w:sz w:val="21"/>
          <w:szCs w:val="21"/>
        </w:rPr>
        <w:t xml:space="preserve">This means malformed request, not business-logic failure. The JSON API rejects at the parse layer before reaching the Daml and returns nothing at all. No code, no cause, no diagnostics. Known causes, in order of 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CE6F1" w:val="clear"/>
            <w:tcMar>
              <w:top w:type="dxa" w:w="70"/>
              <w:left w:type="dxa" w:w="90"/>
              <w:bottom w:type="dxa" w:w="70"/>
              <w:right w:type="dxa" w:w="90"/>
            </w:tcMar>
          </w:tcPr>
          <w:p>
            <w:r>
              <w:rPr>
                <w:b/>
                <w:bCs/>
                <w:sz w:val="17"/>
                <w:szCs w:val="17"/>
              </w:rPr>
              <w:t xml:space="preserve">Cause</w:t>
            </w:r>
          </w:p>
        </w:tc>
        <w:tc>
          <w:tcPr>
            <w:tcW w:type="dxa" w:w="5960"/>
            <w:shd w:fill="DCE6F1" w:val="clear"/>
            <w:tcMar>
              <w:top w:type="dxa" w:w="70"/>
              <w:left w:type="dxa" w:w="90"/>
              <w:bottom w:type="dxa" w:w="70"/>
              <w:right w:type="dxa" w:w="90"/>
            </w:tcMar>
          </w:tcPr>
          <w:p>
            <w:r>
              <w:rPr>
                <w:b/>
                <w:bCs/>
                <w:sz w:val="17"/>
                <w:szCs w:val="17"/>
              </w:rPr>
              <w:t xml:space="preserve">Fix</w:t>
            </w:r>
          </w:p>
        </w:tc>
      </w:tr>
      <w:tr>
        <w:trPr>
          <w:tblHeader w:val="false"/>
        </w:trPr>
        <w:tc>
          <w:tcPr>
            <w:tcW w:type="dxa" w:w="3400"/>
            <w:tcMar>
              <w:top w:type="dxa" w:w="70"/>
              <w:left w:type="dxa" w:w="90"/>
              <w:bottom w:type="dxa" w:w="70"/>
              <w:right w:type="dxa" w:w="90"/>
            </w:tcMar>
          </w:tcPr>
          <w:p>
            <w:r>
              <w:rPr>
                <w:b w:val="false"/>
                <w:bCs w:val="false"/>
                <w:sz w:val="17"/>
                <w:szCs w:val="17"/>
              </w:rPr>
              <w:t xml:space="preserve">Wrong endpoint</w:t>
            </w:r>
          </w:p>
        </w:tc>
        <w:tc>
          <w:tcPr>
            <w:tcW w:type="dxa" w:w="5960"/>
            <w:tcMar>
              <w:top w:type="dxa" w:w="70"/>
              <w:left w:type="dxa" w:w="90"/>
              <w:bottom w:type="dxa" w:w="70"/>
              <w:right w:type="dxa" w:w="90"/>
            </w:tcMar>
          </w:tcPr>
          <w:p>
            <w:r>
              <w:rPr>
                <w:b w:val="false"/>
                <w:bCs w:val="false"/>
                <w:sz w:val="17"/>
                <w:szCs w:val="17"/>
              </w:rPr>
              <w:t xml:space="preserve">submit-and-wait does NOT accept a transactionFormat. Any command needing a transaction response must use submit-and-wait-for-transaction.</w:t>
            </w:r>
          </w:p>
        </w:tc>
      </w:tr>
      <w:tr>
        <w:trPr>
          <w:tblHeader w:val="false"/>
        </w:trPr>
        <w:tc>
          <w:tcPr>
            <w:tcW w:type="dxa" w:w="3400"/>
            <w:tcMar>
              <w:top w:type="dxa" w:w="70"/>
              <w:left w:type="dxa" w:w="90"/>
              <w:bottom w:type="dxa" w:w="70"/>
              <w:right w:type="dxa" w:w="90"/>
            </w:tcMar>
          </w:tcPr>
          <w:p>
            <w:r>
              <w:rPr>
                <w:b w:val="false"/>
                <w:bCs w:val="false"/>
                <w:sz w:val="17"/>
                <w:szCs w:val="17"/>
              </w:rPr>
              <w:t xml:space="preserve">Missing disclosedContracts</w:t>
            </w:r>
          </w:p>
        </w:tc>
        <w:tc>
          <w:tcPr>
            <w:tcW w:type="dxa" w:w="5960"/>
            <w:tcMar>
              <w:top w:type="dxa" w:w="70"/>
              <w:left w:type="dxa" w:w="90"/>
              <w:bottom w:type="dxa" w:w="70"/>
              <w:right w:type="dxa" w:w="90"/>
            </w:tcMar>
          </w:tcPr>
          <w:p>
            <w:r>
              <w:rPr>
                <w:b w:val="false"/>
                <w:bCs w:val="false"/>
                <w:sz w:val="17"/>
                <w:szCs w:val="17"/>
              </w:rPr>
              <w:t xml:space="preserve">The consumer is not a stakeholder on the Orchestrator and cannot see it. Every consumer-side command must carry contractId, createdEventBlob and synchronizerId.</w:t>
            </w:r>
          </w:p>
        </w:tc>
      </w:tr>
      <w:tr>
        <w:trPr>
          <w:tblHeader w:val="false"/>
        </w:trPr>
        <w:tc>
          <w:tcPr>
            <w:tcW w:type="dxa" w:w="3400"/>
            <w:tcMar>
              <w:top w:type="dxa" w:w="70"/>
              <w:left w:type="dxa" w:w="90"/>
              <w:bottom w:type="dxa" w:w="70"/>
              <w:right w:type="dxa" w:w="90"/>
            </w:tcMar>
          </w:tcPr>
          <w:p>
            <w:r>
              <w:rPr>
                <w:b w:val="false"/>
                <w:bCs w:val="false"/>
                <w:sz w:val="17"/>
                <w:szCs w:val="17"/>
              </w:rPr>
              <w:t xml:space="preserve">Malformed Bruno variable</w:t>
            </w:r>
          </w:p>
        </w:tc>
        <w:tc>
          <w:tcPr>
            <w:tcW w:type="dxa" w:w="5960"/>
            <w:tcMar>
              <w:top w:type="dxa" w:w="70"/>
              <w:left w:type="dxa" w:w="90"/>
              <w:bottom w:type="dxa" w:w="70"/>
              <w:right w:type="dxa" w:w="90"/>
            </w:tcMar>
          </w:tcPr>
          <w:p>
            <w:r>
              <w:rPr>
                <w:b w:val="false"/>
                <w:bCs w:val="false"/>
                <w:sz w:val="17"/>
                <w:szCs w:val="17"/>
              </w:rPr>
              <w:t xml:space="preserve">The synchronizerId runtime variable can become corrupted and will poison subsequent request bodies. Disable the Post Response var, or restart Bruno.</w:t>
            </w:r>
          </w:p>
        </w:tc>
      </w:tr>
    </w:tbl>
    <w:p>
      <w:pPr>
        <w:spacing w:after="140"/>
      </w:pPr>
      <w:r>
        <w:rPr>
          <w:sz w:val="21"/>
          <w:szCs w:val="21"/>
        </w:rPr>
        <w:t xml:space="preserve"/>
      </w:r>
    </w:p>
    <w:p>
      <w:pPr>
        <w:pStyle w:val="Heading2"/>
        <w:spacing w:after="140" w:before="260"/>
      </w:pPr>
      <w:r>
        <w:rPr>
          <w:b/>
          <w:bCs/>
        </w:rPr>
        <w:t xml:space="preserve">6.3 VerifyValidity fails with no explanation</w:t>
      </w:r>
    </w:p>
    <w:p>
      <w:pPr>
        <w:spacing w:after="140"/>
      </w:pPr>
      <w:r>
        <w:rPr>
          <w:sz w:val="21"/>
          <w:szCs w:val="21"/>
        </w:rPr>
        <w:t xml:space="preserve">It has four non-obvious requirements. Each produces a silent 400 if missed.</w:t>
      </w:r>
    </w:p>
    <w:p>
      <w:pPr>
        <w:spacing w:after="140"/>
        <w:ind w:left="400"/>
      </w:pPr>
      <w:r>
        <w:rPr>
          <w:sz w:val="21"/>
          <w:szCs w:val="21"/>
        </w:rPr>
        <w:t xml:space="preserve">1. Exercise it as the CONSUMER, not the operator. This is a defect and is the subject of PoLi-DEF-01. Until it is remediated, the operator cannot verify its own attestations.</w:t>
      </w:r>
    </w:p>
    <w:p>
      <w:pPr>
        <w:spacing w:after="140"/>
        <w:ind w:left="400"/>
      </w:pPr>
      <w:r>
        <w:rPr>
          <w:sz w:val="21"/>
          <w:szCs w:val="21"/>
        </w:rPr>
        <w:t xml:space="preserve">2. The templateId is the INTERFACE, not the implementation.</w:t>
      </w:r>
    </w:p>
    <w:p>
      <w:pPr>
        <w:shd w:fill="F2F2F2" w:val="clear"/>
        <w:spacing w:after="40"/>
        <w:ind w:left="300"/>
      </w:pPr>
      <w:r>
        <w:rPr>
          <w:rFonts w:ascii="Consolas" w:cs="Consolas" w:eastAsia="Consolas" w:hAnsi="Consolas"/>
          <w:sz w:val="17"/>
          <w:szCs w:val="17"/>
        </w:rPr>
        <w:t xml:space="preserve">#stratalink-attestation-interface:Stratalink.Attestation:Attestation</w:t>
      </w:r>
    </w:p>
    <w:p>
      <w:pPr>
        <w:spacing w:after="140"/>
        <w:ind w:left="400"/>
      </w:pPr>
      <w:r>
        <w:rPr>
          <w:sz w:val="21"/>
          <w:szCs w:val="21"/>
        </w:rPr>
        <w:t xml:space="preserve">3. Use TRANSACTION_SHAPE_LEDGER_EFFECTS, not ACS_DELTA. The choice is nonconsuming, so the ACS delta is empty.</w:t>
      </w:r>
    </w:p>
    <w:p>
      <w:pPr>
        <w:spacing w:after="140"/>
        <w:ind w:left="400"/>
      </w:pPr>
      <w:r>
        <w:rPr>
          <w:sz w:val="21"/>
          <w:szCs w:val="21"/>
        </w:rPr>
        <w:t xml:space="preserve">4. The Orchestrator must be disclosed.</w:t>
      </w:r>
    </w:p>
    <w:p>
      <w:pPr>
        <w:spacing w:after="140"/>
      </w:pPr>
      <w:r>
        <w:rPr>
          <w:sz w:val="21"/>
          <w:szCs w:val="21"/>
        </w:rPr>
        <w:t xml:space="preserve">The exerciseResult is nested inside transaction.events[].ExercisedEvent, not at the top level.</w:t>
      </w:r>
    </w:p>
    <w:p>
      <w:pPr>
        <w:pStyle w:val="Heading2"/>
        <w:spacing w:after="140" w:before="260"/>
      </w:pPr>
      <w:r>
        <w:rPr>
          <w:b/>
          <w:bCs/>
        </w:rPr>
        <w:t xml:space="preserve">6.4 Signature verifies as false</w:t>
      </w:r>
    </w:p>
    <w:p>
      <w:pPr>
        <w:spacing w:after="140"/>
      </w:pPr>
      <w:r>
        <w:rPr>
          <w:sz w:val="21"/>
          <w:szCs w:val="21"/>
        </w:rPr>
        <w:t xml:space="preserve">Two causes, and they are different problems.</w:t>
      </w:r>
    </w:p>
    <w:p>
      <w:pPr>
        <w:spacing w:after="140"/>
      </w:pPr>
      <w:r>
        <w:rPr>
          <w:sz w:val="21"/>
          <w:szCs w:val="21"/>
        </w:rPr>
        <w:t xml:space="preserve">First: the signing key registered on the Orchestrator does not match the key the adapter signed with. Check which environment each came from.</w:t>
      </w:r>
    </w:p>
    <w:p>
      <w:pPr>
        <w:spacing w:after="140"/>
      </w:pPr>
      <w:r>
        <w:rPr>
          <w:b/>
          <w:bCs/>
          <w:sz w:val="21"/>
          <w:szCs w:val="21"/>
        </w:rPr>
        <w:t xml:space="preserve">Second, and this is the trap: someone pre-built the canonical payload and passed the string. Do not. signAttestation builds the payload itself, from the inputs. The bytes that are hashed and the bytes that are signed must not be able to diverge, and pre-building is exactly how they diverge.</w:t>
      </w:r>
    </w:p>
    <w:p>
      <w:pPr>
        <w:spacing w:after="140"/>
      </w:pPr>
      <w:r>
        <w:rPr>
          <w:b/>
          <w:bCs/>
          <w:sz w:val="21"/>
          <w:szCs w:val="21"/>
        </w:rPr>
        <w:t xml:space="preserve">Third, and this one is not a bug in your code: if the Orchestrator public key has been rotated since the attestation was issued, the signature will verify as false even though the attestation is untouched and byte-identical. This is PoLi-DEF-01 Finding 1. If you see a signature failure immediately after a rotation, the attestation is not corrupt. The contract is.</w:t>
      </w:r>
    </w:p>
    <w:p>
      <w:pPr>
        <w:pStyle w:val="Heading2"/>
        <w:spacing w:after="140" w:before="260"/>
      </w:pPr>
      <w:r>
        <w:rPr>
          <w:b/>
          <w:bCs/>
        </w:rPr>
        <w:t xml:space="preserve">6.5 Template filter matches nothing</w:t>
      </w:r>
    </w:p>
    <w:p>
      <w:pPr>
        <w:spacing w:after="140"/>
      </w:pPr>
      <w:r>
        <w:rPr>
          <w:sz w:val="21"/>
          <w:szCs w:val="21"/>
        </w:rPr>
        <w:t xml:space="preserve">The JSON Ledger API RETURNS template identifiers in package-hash form but only ACCEPTS package-name form as a query filter. Do not round-trip a returned identifier back in as a filter. Use the reference form, or a WildcardFilter.</w:t>
      </w:r>
    </w:p>
    <w:p>
      <w:pPr>
        <w:pStyle w:val="Heading2"/>
        <w:spacing w:after="140" w:before="260"/>
      </w:pPr>
      <w:r>
        <w:rPr>
          <w:b/>
          <w:bCs/>
        </w:rPr>
        <w:t xml:space="preserve">6.6 Daml source files not found</w:t>
      </w:r>
    </w:p>
    <w:p>
      <w:pPr>
        <w:spacing w:after="140"/>
      </w:pPr>
      <w:r>
        <w:rPr>
          <w:sz w:val="21"/>
          <w:szCs w:val="21"/>
        </w:rPr>
        <w:t xml:space="preserve">The multi-package structure defeats a shallow search.</w:t>
      </w:r>
    </w:p>
    <w:p>
      <w:pPr>
        <w:shd w:fill="F2F2F2" w:val="clear"/>
        <w:spacing w:after="40"/>
        <w:ind w:left="300"/>
      </w:pPr>
      <w:r>
        <w:rPr>
          <w:rFonts w:ascii="Consolas" w:cs="Consolas" w:eastAsia="Consolas" w:hAnsi="Consolas"/>
          <w:sz w:val="17"/>
          <w:szCs w:val="17"/>
        </w:rPr>
        <w:t xml:space="preserve">find . -name '*.daml' -not -path '*/.git/*'</w:t>
      </w:r>
    </w:p>
    <w:p>
      <w:pPr>
        <w:spacing w:after="140"/>
      </w:pPr>
      <w:r>
        <w:rPr>
          <w:sz w:val="21"/>
          <w:szCs w:val="21"/>
        </w:rPr>
        <w:t xml:space="preserve"/>
      </w:r>
    </w:p>
    <w:p>
      <w:pPr>
        <w:pStyle w:val="Heading1"/>
        <w:spacing w:after="140" w:before="260"/>
      </w:pPr>
      <w:r>
        <w:rPr>
          <w:b/>
          <w:bCs/>
        </w:rPr>
        <w:t xml:space="preserve">7. Recovery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CE6F1" w:val="clear"/>
            <w:tcMar>
              <w:top w:type="dxa" w:w="70"/>
              <w:left w:type="dxa" w:w="90"/>
              <w:bottom w:type="dxa" w:w="70"/>
              <w:right w:type="dxa" w:w="90"/>
            </w:tcMar>
          </w:tcPr>
          <w:p>
            <w:r>
              <w:rPr>
                <w:b/>
                <w:bCs/>
                <w:sz w:val="17"/>
                <w:szCs w:val="17"/>
              </w:rPr>
              <w:t xml:space="preserve">Scenario</w:t>
            </w:r>
          </w:p>
        </w:tc>
        <w:tc>
          <w:tcPr>
            <w:tcW w:type="dxa" w:w="6960"/>
            <w:shd w:fill="DCE6F1" w:val="clear"/>
            <w:tcMar>
              <w:top w:type="dxa" w:w="70"/>
              <w:left w:type="dxa" w:w="90"/>
              <w:bottom w:type="dxa" w:w="70"/>
              <w:right w:type="dxa" w:w="90"/>
            </w:tcMar>
          </w:tcPr>
          <w:p>
            <w:r>
              <w:rPr>
                <w:b/>
                <w:bCs/>
                <w:sz w:val="17"/>
                <w:szCs w:val="17"/>
              </w:rPr>
              <w:t xml:space="preserve">Procedure</w:t>
            </w:r>
          </w:p>
        </w:tc>
      </w:tr>
      <w:tr>
        <w:trPr>
          <w:tblHeader w:val="false"/>
        </w:trPr>
        <w:tc>
          <w:tcPr>
            <w:tcW w:type="dxa" w:w="2400"/>
            <w:tcMar>
              <w:top w:type="dxa" w:w="70"/>
              <w:left w:type="dxa" w:w="90"/>
              <w:bottom w:type="dxa" w:w="70"/>
              <w:right w:type="dxa" w:w="90"/>
            </w:tcMar>
          </w:tcPr>
          <w:p>
            <w:r>
              <w:rPr>
                <w:b w:val="false"/>
                <w:bCs w:val="false"/>
                <w:sz w:val="17"/>
                <w:szCs w:val="17"/>
              </w:rPr>
              <w:t xml:space="preserve">Adapter crashes mid-cycle</w:t>
            </w:r>
          </w:p>
        </w:tc>
        <w:tc>
          <w:tcPr>
            <w:tcW w:type="dxa" w:w="6960"/>
            <w:tcMar>
              <w:top w:type="dxa" w:w="70"/>
              <w:left w:type="dxa" w:w="90"/>
              <w:bottom w:type="dxa" w:w="70"/>
              <w:right w:type="dxa" w:w="90"/>
            </w:tcMar>
          </w:tcPr>
          <w:p>
            <w:r>
              <w:rPr>
                <w:b w:val="false"/>
                <w:bCs w:val="false"/>
                <w:sz w:val="17"/>
                <w:szCs w:val="17"/>
              </w:rPr>
              <w:t xml:space="preserve">Restart. It reconciles from the ledger. No manual state repair is required or appropriate. The ledger enforces single-processing, so a request that was already processed will return CONTRACT_NOT_FOUND on a second attempt, and the adapter treats that as reconcile rather than as a terminal error.</w:t>
            </w:r>
          </w:p>
        </w:tc>
      </w:tr>
      <w:tr>
        <w:trPr>
          <w:tblHeader w:val="false"/>
        </w:trPr>
        <w:tc>
          <w:tcPr>
            <w:tcW w:type="dxa" w:w="2400"/>
            <w:tcMar>
              <w:top w:type="dxa" w:w="70"/>
              <w:left w:type="dxa" w:w="90"/>
              <w:bottom w:type="dxa" w:w="70"/>
              <w:right w:type="dxa" w:w="90"/>
            </w:tcMar>
          </w:tcPr>
          <w:p>
            <w:r>
              <w:rPr>
                <w:b w:val="false"/>
                <w:bCs w:val="false"/>
                <w:sz w:val="17"/>
                <w:szCs w:val="17"/>
              </w:rPr>
              <w:t xml:space="preserve">Parked backlog lost</w:t>
            </w:r>
          </w:p>
        </w:tc>
        <w:tc>
          <w:tcPr>
            <w:tcW w:type="dxa" w:w="6960"/>
            <w:tcMar>
              <w:top w:type="dxa" w:w="70"/>
              <w:left w:type="dxa" w:w="90"/>
              <w:bottom w:type="dxa" w:w="70"/>
              <w:right w:type="dxa" w:w="90"/>
            </w:tcMar>
          </w:tcPr>
          <w:p>
            <w:r>
              <w:rPr>
                <w:b w:val="false"/>
                <w:bCs w:val="false"/>
                <w:sz w:val="17"/>
                <w:szCs w:val="17"/>
              </w:rPr>
              <w:t xml:space="preserve">data/parked.json is the only persisted state. If lost, the parked requests remain ACTIVE on the ledger but the record of why they were parked is gone. There is no reconstruction path. Back this file up.</w:t>
            </w:r>
          </w:p>
        </w:tc>
      </w:tr>
      <w:tr>
        <w:trPr>
          <w:tblHeader w:val="false"/>
        </w:trPr>
        <w:tc>
          <w:tcPr>
            <w:tcW w:type="dxa" w:w="2400"/>
            <w:tcMar>
              <w:top w:type="dxa" w:w="70"/>
              <w:left w:type="dxa" w:w="90"/>
              <w:bottom w:type="dxa" w:w="70"/>
              <w:right w:type="dxa" w:w="90"/>
            </w:tcMar>
          </w:tcPr>
          <w:p>
            <w:r>
              <w:rPr>
                <w:b w:val="false"/>
                <w:bCs w:val="false"/>
                <w:sz w:val="17"/>
                <w:szCs w:val="17"/>
              </w:rPr>
              <w:t xml:space="preserve">Token expires mid-run (DevNet)</w:t>
            </w:r>
          </w:p>
        </w:tc>
        <w:tc>
          <w:tcPr>
            <w:tcW w:type="dxa" w:w="6960"/>
            <w:tcMar>
              <w:top w:type="dxa" w:w="70"/>
              <w:left w:type="dxa" w:w="90"/>
              <w:bottom w:type="dxa" w:w="70"/>
              <w:right w:type="dxa" w:w="90"/>
            </w:tcMar>
          </w:tcPr>
          <w:p>
            <w:r>
              <w:rPr>
                <w:b w:val="false"/>
                <w:bCs w:val="false"/>
                <w:sz w:val="17"/>
                <w:szCs w:val="17"/>
              </w:rPr>
              <w:t xml:space="preserve">UNKNOWN. There is no recovery path today because there is no refresh logic. The adapter will die. This is the deliverable of PoLi-DEV-01 DEV-17.</w:t>
            </w:r>
          </w:p>
        </w:tc>
      </w:tr>
      <w:tr>
        <w:trPr>
          <w:tblHeader w:val="false"/>
        </w:trPr>
        <w:tc>
          <w:tcPr>
            <w:tcW w:type="dxa" w:w="2400"/>
            <w:tcMar>
              <w:top w:type="dxa" w:w="70"/>
              <w:left w:type="dxa" w:w="90"/>
              <w:bottom w:type="dxa" w:w="70"/>
              <w:right w:type="dxa" w:w="90"/>
            </w:tcMar>
          </w:tcPr>
          <w:p>
            <w:r>
              <w:rPr>
                <w:b w:val="false"/>
                <w:bCs w:val="false"/>
                <w:sz w:val="17"/>
                <w:szCs w:val="17"/>
              </w:rPr>
              <w:t xml:space="preserve">Suspected key compromise</w:t>
            </w:r>
          </w:p>
        </w:tc>
        <w:tc>
          <w:tcPr>
            <w:tcW w:type="dxa" w:w="6960"/>
            <w:tcMar>
              <w:top w:type="dxa" w:w="70"/>
              <w:left w:type="dxa" w:w="90"/>
              <w:bottom w:type="dxa" w:w="70"/>
              <w:right w:type="dxa" w:w="90"/>
            </w:tcMar>
          </w:tcPr>
          <w:p>
            <w:r>
              <w:rPr>
                <w:b w:val="false"/>
                <w:bCs w:val="false"/>
                <w:sz w:val="17"/>
                <w:szCs w:val="17"/>
              </w:rPr>
              <w:t xml:space="preserve">DO NOT ROTATE without reading this first. Under the contract as delivered, rotating the Orchestrator key destroys the verifiability of every attestation ever issued. Responding correctly to the incident and destroying the evidentiary record are currently the same action. Escalate to IntellectEU before acting. This is PoLi-DEF-01 Finding 1.</w:t>
            </w:r>
          </w:p>
        </w:tc>
      </w:tr>
      <w:tr>
        <w:trPr>
          <w:tblHeader w:val="false"/>
        </w:trPr>
        <w:tc>
          <w:tcPr>
            <w:tcW w:type="dxa" w:w="2400"/>
            <w:tcMar>
              <w:top w:type="dxa" w:w="70"/>
              <w:left w:type="dxa" w:w="90"/>
              <w:bottom w:type="dxa" w:w="70"/>
              <w:right w:type="dxa" w:w="90"/>
            </w:tcMar>
          </w:tcPr>
          <w:p>
            <w:r>
              <w:rPr>
                <w:b w:val="false"/>
                <w:bCs w:val="false"/>
                <w:sz w:val="17"/>
                <w:szCs w:val="17"/>
              </w:rPr>
              <w:t xml:space="preserve">Validator node unreachable</w:t>
            </w:r>
          </w:p>
        </w:tc>
        <w:tc>
          <w:tcPr>
            <w:tcW w:type="dxa" w:w="6960"/>
            <w:tcMar>
              <w:top w:type="dxa" w:w="70"/>
              <w:left w:type="dxa" w:w="90"/>
              <w:bottom w:type="dxa" w:w="70"/>
              <w:right w:type="dxa" w:w="90"/>
            </w:tcMar>
          </w:tcPr>
          <w:p>
            <w:r>
              <w:rPr>
                <w:b w:val="false"/>
                <w:bCs w:val="false"/>
                <w:sz w:val="17"/>
                <w:szCs w:val="17"/>
              </w:rPr>
              <w:t xml:space="preserve">IntellectEU responsibility. Escalate via Bruno Almeida (Head of Digital Assets) or Paula Costa (Delivery Manager). Do not attempt Catalyst-level intervention.</w:t>
            </w:r>
          </w:p>
        </w:tc>
      </w:tr>
    </w:tbl>
    <w:p>
      <w:pPr>
        <w:spacing w:after="140"/>
      </w:pPr>
      <w:r>
        <w:rPr>
          <w:sz w:val="21"/>
          <w:szCs w:val="21"/>
        </w:rPr>
        <w:t xml:space="preserve"/>
      </w:r>
    </w:p>
    <w:p>
      <w:pPr>
        <w:pStyle w:val="Heading1"/>
        <w:spacing w:after="140" w:before="260"/>
      </w:pPr>
      <w:r>
        <w:rPr>
          <w:b/>
          <w:bCs/>
        </w:rPr>
        <w:t xml:space="preserve">8. Monitoring: what is not being watched</w:t>
      </w:r>
    </w:p>
    <w:p>
      <w:pPr>
        <w:spacing w:after="140"/>
      </w:pPr>
      <w:r>
        <w:rPr>
          <w:sz w:val="21"/>
          <w:szCs w:val="21"/>
        </w:rPr>
        <w:t xml:space="preserve">There is currently no monitoring. This section records what needs to exist, so that its absence is a known gap rather than an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CE6F1" w:val="clear"/>
            <w:tcMar>
              <w:top w:type="dxa" w:w="70"/>
              <w:left w:type="dxa" w:w="90"/>
              <w:bottom w:type="dxa" w:w="70"/>
              <w:right w:type="dxa" w:w="90"/>
            </w:tcMar>
          </w:tcPr>
          <w:p>
            <w:r>
              <w:rPr>
                <w:b/>
                <w:bCs/>
                <w:sz w:val="17"/>
                <w:szCs w:val="17"/>
              </w:rPr>
              <w:t xml:space="preserve">Signal</w:t>
            </w:r>
          </w:p>
        </w:tc>
        <w:tc>
          <w:tcPr>
            <w:tcW w:type="dxa" w:w="6360"/>
            <w:shd w:fill="DCE6F1" w:val="clear"/>
            <w:tcMar>
              <w:top w:type="dxa" w:w="70"/>
              <w:left w:type="dxa" w:w="90"/>
              <w:bottom w:type="dxa" w:w="70"/>
              <w:right w:type="dxa" w:w="90"/>
            </w:tcMar>
          </w:tcPr>
          <w:p>
            <w:r>
              <w:rPr>
                <w:b/>
                <w:bCs/>
                <w:sz w:val="17"/>
                <w:szCs w:val="17"/>
              </w:rPr>
              <w:t xml:space="preserve">Why it matters</w:t>
            </w:r>
          </w:p>
        </w:tc>
      </w:tr>
      <w:tr>
        <w:trPr>
          <w:tblHeader w:val="false"/>
        </w:trPr>
        <w:tc>
          <w:tcPr>
            <w:tcW w:type="dxa" w:w="3000"/>
            <w:tcMar>
              <w:top w:type="dxa" w:w="70"/>
              <w:left w:type="dxa" w:w="90"/>
              <w:bottom w:type="dxa" w:w="70"/>
              <w:right w:type="dxa" w:w="90"/>
            </w:tcMar>
          </w:tcPr>
          <w:p>
            <w:r>
              <w:rPr>
                <w:b w:val="false"/>
                <w:bCs w:val="false"/>
                <w:sz w:val="17"/>
                <w:szCs w:val="17"/>
              </w:rPr>
              <w:t xml:space="preserve">Poller cycle completing</w:t>
            </w:r>
          </w:p>
        </w:tc>
        <w:tc>
          <w:tcPr>
            <w:tcW w:type="dxa" w:w="6360"/>
            <w:tcMar>
              <w:top w:type="dxa" w:w="70"/>
              <w:left w:type="dxa" w:w="90"/>
              <w:bottom w:type="dxa" w:w="70"/>
              <w:right w:type="dxa" w:w="90"/>
            </w:tcMar>
          </w:tcPr>
          <w:p>
            <w:r>
              <w:rPr>
                <w:b w:val="false"/>
                <w:bCs w:val="false"/>
                <w:sz w:val="17"/>
                <w:szCs w:val="17"/>
              </w:rPr>
              <w:t xml:space="preserve">A silent poller and a quiet ledger look identical. This is the most important signal and the one most likely to be missed.</w:t>
            </w:r>
          </w:p>
        </w:tc>
      </w:tr>
      <w:tr>
        <w:trPr>
          <w:tblHeader w:val="false"/>
        </w:trPr>
        <w:tc>
          <w:tcPr>
            <w:tcW w:type="dxa" w:w="3000"/>
            <w:tcMar>
              <w:top w:type="dxa" w:w="70"/>
              <w:left w:type="dxa" w:w="90"/>
              <w:bottom w:type="dxa" w:w="70"/>
              <w:right w:type="dxa" w:w="90"/>
            </w:tcMar>
          </w:tcPr>
          <w:p>
            <w:r>
              <w:rPr>
                <w:b w:val="false"/>
                <w:bCs w:val="false"/>
                <w:sz w:val="17"/>
                <w:szCs w:val="17"/>
              </w:rPr>
              <w:t xml:space="preserve">Parked backlog depth</w:t>
            </w:r>
          </w:p>
        </w:tc>
        <w:tc>
          <w:tcPr>
            <w:tcW w:type="dxa" w:w="6360"/>
            <w:tcMar>
              <w:top w:type="dxa" w:w="70"/>
              <w:left w:type="dxa" w:w="90"/>
              <w:bottom w:type="dxa" w:w="70"/>
              <w:right w:type="dxa" w:w="90"/>
            </w:tcMar>
          </w:tcPr>
          <w:p>
            <w:r>
              <w:rPr>
                <w:b w:val="false"/>
                <w:bCs w:val="false"/>
                <w:sz w:val="17"/>
                <w:szCs w:val="17"/>
              </w:rPr>
              <w:t xml:space="preserve">Growth indicates coverage is degrading. A parked request is a request Stratalink cannot honestly answer.</w:t>
            </w:r>
          </w:p>
        </w:tc>
      </w:tr>
      <w:tr>
        <w:trPr>
          <w:tblHeader w:val="false"/>
        </w:trPr>
        <w:tc>
          <w:tcPr>
            <w:tcW w:type="dxa" w:w="3000"/>
            <w:tcMar>
              <w:top w:type="dxa" w:w="70"/>
              <w:left w:type="dxa" w:w="90"/>
              <w:bottom w:type="dxa" w:w="70"/>
              <w:right w:type="dxa" w:w="90"/>
            </w:tcMar>
          </w:tcPr>
          <w:p>
            <w:r>
              <w:rPr>
                <w:b w:val="false"/>
                <w:bCs w:val="false"/>
                <w:sz w:val="17"/>
                <w:szCs w:val="17"/>
              </w:rPr>
              <w:t xml:space="preserve">Attestation rate</w:t>
            </w:r>
          </w:p>
        </w:tc>
        <w:tc>
          <w:tcPr>
            <w:tcW w:type="dxa" w:w="6360"/>
            <w:tcMar>
              <w:top w:type="dxa" w:w="70"/>
              <w:left w:type="dxa" w:w="90"/>
              <w:bottom w:type="dxa" w:w="70"/>
              <w:right w:type="dxa" w:w="90"/>
            </w:tcMar>
          </w:tcPr>
          <w:p>
            <w:r>
              <w:rPr>
                <w:b w:val="false"/>
                <w:bCs w:val="false"/>
                <w:sz w:val="17"/>
                <w:szCs w:val="17"/>
              </w:rPr>
              <w:t xml:space="preserve">A sudden drop is either a market event or a coverage failure, and the two must be distinguishable.</w:t>
            </w:r>
          </w:p>
        </w:tc>
      </w:tr>
      <w:tr>
        <w:trPr>
          <w:tblHeader w:val="false"/>
        </w:trPr>
        <w:tc>
          <w:tcPr>
            <w:tcW w:type="dxa" w:w="3000"/>
            <w:tcMar>
              <w:top w:type="dxa" w:w="70"/>
              <w:left w:type="dxa" w:w="90"/>
              <w:bottom w:type="dxa" w:w="70"/>
              <w:right w:type="dxa" w:w="90"/>
            </w:tcMar>
          </w:tcPr>
          <w:p>
            <w:r>
              <w:rPr>
                <w:b w:val="false"/>
                <w:bCs w:val="false"/>
                <w:sz w:val="17"/>
                <w:szCs w:val="17"/>
              </w:rPr>
              <w:t xml:space="preserve">Rejection rate by code</w:t>
            </w:r>
          </w:p>
        </w:tc>
        <w:tc>
          <w:tcPr>
            <w:tcW w:type="dxa" w:w="6360"/>
            <w:tcMar>
              <w:top w:type="dxa" w:w="70"/>
              <w:left w:type="dxa" w:w="90"/>
              <w:bottom w:type="dxa" w:w="70"/>
              <w:right w:type="dxa" w:w="90"/>
            </w:tcMar>
          </w:tcPr>
          <w:p>
            <w:r>
              <w:rPr>
                <w:b w:val="false"/>
                <w:bCs w:val="false"/>
                <w:sz w:val="17"/>
                <w:szCs w:val="17"/>
              </w:rPr>
              <w:t xml:space="preserve">A rejection is a statement about Stratalink. A rising rate is a statement about Stratalink getting worse.</w:t>
            </w:r>
          </w:p>
        </w:tc>
      </w:tr>
      <w:tr>
        <w:trPr>
          <w:tblHeader w:val="false"/>
        </w:trPr>
        <w:tc>
          <w:tcPr>
            <w:tcW w:type="dxa" w:w="3000"/>
            <w:tcMar>
              <w:top w:type="dxa" w:w="70"/>
              <w:left w:type="dxa" w:w="90"/>
              <w:bottom w:type="dxa" w:w="70"/>
              <w:right w:type="dxa" w:w="90"/>
            </w:tcMar>
          </w:tcPr>
          <w:p>
            <w:r>
              <w:rPr>
                <w:b w:val="false"/>
                <w:bCs w:val="false"/>
                <w:sz w:val="17"/>
                <w:szCs w:val="17"/>
              </w:rPr>
              <w:t xml:space="preserve">Token TTL remaining (DevNet)</w:t>
            </w:r>
          </w:p>
        </w:tc>
        <w:tc>
          <w:tcPr>
            <w:tcW w:type="dxa" w:w="6360"/>
            <w:tcMar>
              <w:top w:type="dxa" w:w="70"/>
              <w:left w:type="dxa" w:w="90"/>
              <w:bottom w:type="dxa" w:w="70"/>
              <w:right w:type="dxa" w:w="90"/>
            </w:tcMar>
          </w:tcPr>
          <w:p>
            <w:r>
              <w:rPr>
                <w:b w:val="false"/>
                <w:bCs w:val="false"/>
                <w:sz w:val="17"/>
                <w:szCs w:val="17"/>
              </w:rPr>
              <w:t xml:space="preserve">Does not exist. Cannot exist until token handling does.</w:t>
            </w:r>
          </w:p>
        </w:tc>
      </w:tr>
      <w:tr>
        <w:trPr>
          <w:tblHeader w:val="false"/>
        </w:trPr>
        <w:tc>
          <w:tcPr>
            <w:tcW w:type="dxa" w:w="3000"/>
            <w:tcMar>
              <w:top w:type="dxa" w:w="70"/>
              <w:left w:type="dxa" w:w="90"/>
              <w:bottom w:type="dxa" w:w="70"/>
              <w:right w:type="dxa" w:w="90"/>
            </w:tcMar>
          </w:tcPr>
          <w:p>
            <w:r>
              <w:rPr>
                <w:b w:val="false"/>
                <w:bCs w:val="false"/>
                <w:sz w:val="17"/>
                <w:szCs w:val="17"/>
              </w:rPr>
              <w:t xml:space="preserve">Signature verification failures</w:t>
            </w:r>
          </w:p>
        </w:tc>
        <w:tc>
          <w:tcPr>
            <w:tcW w:type="dxa" w:w="6360"/>
            <w:tcMar>
              <w:top w:type="dxa" w:w="70"/>
              <w:left w:type="dxa" w:w="90"/>
              <w:bottom w:type="dxa" w:w="70"/>
              <w:right w:type="dxa" w:w="90"/>
            </w:tcMar>
          </w:tcPr>
          <w:p>
            <w:r>
              <w:rPr>
                <w:b w:val="false"/>
                <w:bCs w:val="false"/>
                <w:sz w:val="17"/>
                <w:szCs w:val="17"/>
              </w:rPr>
              <w:t xml:space="preserve">Should be zero. A non-zero rate is either a key mismatch or Finding 1 manifesting.</w:t>
            </w:r>
          </w:p>
        </w:tc>
      </w:tr>
    </w:tbl>
    <w:p>
      <w:pPr>
        <w:spacing w:after="140"/>
      </w:pPr>
      <w:r>
        <w:rPr>
          <w:sz w:val="21"/>
          <w:szCs w:val="21"/>
        </w:rPr>
        <w:t xml:space="preserve"/>
      </w:r>
    </w:p>
    <w:p>
      <w:pPr>
        <w:pStyle w:val="Heading1"/>
        <w:spacing w:after="140" w:before="260"/>
      </w:pPr>
      <w:r>
        <w:rPr>
          <w:b/>
          <w:bCs/>
        </w:rPr>
        <w:t xml:space="preserve">9. Known gaps in this runbook</w:t>
      </w:r>
    </w:p>
    <w:p>
      <w:pPr>
        <w:spacing w:after="140"/>
      </w:pPr>
      <w:r>
        <w:rPr>
          <w:sz w:val="21"/>
          <w:szCs w:val="21"/>
        </w:rPr>
        <w:t xml:space="preserve">Stated so that they are not mistaken for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tblHeader/>
        </w:trPr>
        <w:tc>
          <w:tcPr>
            <w:tcW w:type="dxa" w:w="700"/>
            <w:shd w:fill="DCE6F1" w:val="clear"/>
            <w:tcMar>
              <w:top w:type="dxa" w:w="70"/>
              <w:left w:type="dxa" w:w="90"/>
              <w:bottom w:type="dxa" w:w="70"/>
              <w:right w:type="dxa" w:w="90"/>
            </w:tcMar>
          </w:tcPr>
          <w:p>
            <w:r>
              <w:rPr>
                <w:b/>
                <w:bCs/>
                <w:sz w:val="17"/>
                <w:szCs w:val="17"/>
              </w:rPr>
              <w:t xml:space="preserve">#</w:t>
            </w:r>
          </w:p>
        </w:tc>
        <w:tc>
          <w:tcPr>
            <w:tcW w:type="dxa" w:w="4200"/>
            <w:shd w:fill="DCE6F1" w:val="clear"/>
            <w:tcMar>
              <w:top w:type="dxa" w:w="70"/>
              <w:left w:type="dxa" w:w="90"/>
              <w:bottom w:type="dxa" w:w="70"/>
              <w:right w:type="dxa" w:w="90"/>
            </w:tcMar>
          </w:tcPr>
          <w:p>
            <w:r>
              <w:rPr>
                <w:b/>
                <w:bCs/>
                <w:sz w:val="17"/>
                <w:szCs w:val="17"/>
              </w:rPr>
              <w:t xml:space="preserve">Gap</w:t>
            </w:r>
          </w:p>
        </w:tc>
        <w:tc>
          <w:tcPr>
            <w:tcW w:type="dxa" w:w="4460"/>
            <w:shd w:fill="DCE6F1" w:val="clear"/>
            <w:tcMar>
              <w:top w:type="dxa" w:w="70"/>
              <w:left w:type="dxa" w:w="90"/>
              <w:bottom w:type="dxa" w:w="70"/>
              <w:right w:type="dxa" w:w="90"/>
            </w:tcMar>
          </w:tcPr>
          <w:p>
            <w:r>
              <w:rPr>
                <w:b/>
                <w:bCs/>
                <w:sz w:val="17"/>
                <w:szCs w:val="17"/>
              </w:rPr>
              <w:t xml:space="preserve">Blocked on</w:t>
            </w:r>
          </w:p>
        </w:tc>
      </w:tr>
      <w:tr>
        <w:trPr>
          <w:tblHeader w:val="false"/>
        </w:trPr>
        <w:tc>
          <w:tcPr>
            <w:tcW w:type="dxa" w:w="700"/>
            <w:tcMar>
              <w:top w:type="dxa" w:w="70"/>
              <w:left w:type="dxa" w:w="90"/>
              <w:bottom w:type="dxa" w:w="70"/>
              <w:right w:type="dxa" w:w="90"/>
            </w:tcMar>
          </w:tcPr>
          <w:p>
            <w:r>
              <w:rPr>
                <w:b w:val="false"/>
                <w:bCs w:val="false"/>
                <w:sz w:val="17"/>
                <w:szCs w:val="17"/>
              </w:rPr>
              <w:t xml:space="preserve">1</w:t>
            </w:r>
          </w:p>
        </w:tc>
        <w:tc>
          <w:tcPr>
            <w:tcW w:type="dxa" w:w="4200"/>
            <w:tcMar>
              <w:top w:type="dxa" w:w="70"/>
              <w:left w:type="dxa" w:w="90"/>
              <w:bottom w:type="dxa" w:w="70"/>
              <w:right w:type="dxa" w:w="90"/>
            </w:tcMar>
          </w:tcPr>
          <w:p>
            <w:r>
              <w:rPr>
                <w:b w:val="false"/>
                <w:bCs w:val="false"/>
                <w:sz w:val="17"/>
                <w:szCs w:val="17"/>
              </w:rPr>
              <w:t xml:space="preserve">DevNet start and operation procedure</w:t>
            </w:r>
          </w:p>
        </w:tc>
        <w:tc>
          <w:tcPr>
            <w:tcW w:type="dxa" w:w="4460"/>
            <w:tcMar>
              <w:top w:type="dxa" w:w="70"/>
              <w:left w:type="dxa" w:w="90"/>
              <w:bottom w:type="dxa" w:w="70"/>
              <w:right w:type="dxa" w:w="90"/>
            </w:tcMar>
          </w:tcPr>
          <w:p>
            <w:r>
              <w:rPr>
                <w:b w:val="false"/>
                <w:bCs w:val="false"/>
                <w:sz w:val="17"/>
                <w:szCs w:val="17"/>
              </w:rPr>
              <w:t xml:space="preserve">PoLi-DEV-01. Not yet executed.</w:t>
            </w:r>
          </w:p>
        </w:tc>
      </w:tr>
      <w:tr>
        <w:trPr>
          <w:tblHeader w:val="false"/>
        </w:trPr>
        <w:tc>
          <w:tcPr>
            <w:tcW w:type="dxa" w:w="700"/>
            <w:tcMar>
              <w:top w:type="dxa" w:w="70"/>
              <w:left w:type="dxa" w:w="90"/>
              <w:bottom w:type="dxa" w:w="70"/>
              <w:right w:type="dxa" w:w="90"/>
            </w:tcMar>
          </w:tcPr>
          <w:p>
            <w:r>
              <w:rPr>
                <w:b w:val="false"/>
                <w:bCs w:val="false"/>
                <w:sz w:val="17"/>
                <w:szCs w:val="17"/>
              </w:rPr>
              <w:t xml:space="preserve">2</w:t>
            </w:r>
          </w:p>
        </w:tc>
        <w:tc>
          <w:tcPr>
            <w:tcW w:type="dxa" w:w="4200"/>
            <w:tcMar>
              <w:top w:type="dxa" w:w="70"/>
              <w:left w:type="dxa" w:w="90"/>
              <w:bottom w:type="dxa" w:w="70"/>
              <w:right w:type="dxa" w:w="90"/>
            </w:tcMar>
          </w:tcPr>
          <w:p>
            <w:r>
              <w:rPr>
                <w:b w:val="false"/>
                <w:bCs w:val="false"/>
                <w:sz w:val="17"/>
                <w:szCs w:val="17"/>
              </w:rPr>
              <w:t xml:space="preserve">Token refresh and unattended operation</w:t>
            </w:r>
          </w:p>
        </w:tc>
        <w:tc>
          <w:tcPr>
            <w:tcW w:type="dxa" w:w="4460"/>
            <w:tcMar>
              <w:top w:type="dxa" w:w="70"/>
              <w:left w:type="dxa" w:w="90"/>
              <w:bottom w:type="dxa" w:w="70"/>
              <w:right w:type="dxa" w:w="90"/>
            </w:tcMar>
          </w:tcPr>
          <w:p>
            <w:r>
              <w:rPr>
                <w:b w:val="false"/>
                <w:bCs w:val="false"/>
                <w:sz w:val="17"/>
                <w:szCs w:val="17"/>
              </w:rPr>
              <w:t xml:space="preserve">PoLi-DEV-01 DEV-17. No code path exists.</w:t>
            </w:r>
          </w:p>
        </w:tc>
      </w:tr>
      <w:tr>
        <w:trPr>
          <w:tblHeader w:val="false"/>
        </w:trPr>
        <w:tc>
          <w:tcPr>
            <w:tcW w:type="dxa" w:w="700"/>
            <w:tcMar>
              <w:top w:type="dxa" w:w="70"/>
              <w:left w:type="dxa" w:w="90"/>
              <w:bottom w:type="dxa" w:w="70"/>
              <w:right w:type="dxa" w:w="90"/>
            </w:tcMar>
          </w:tcPr>
          <w:p>
            <w:r>
              <w:rPr>
                <w:b w:val="false"/>
                <w:bCs w:val="false"/>
                <w:sz w:val="17"/>
                <w:szCs w:val="17"/>
              </w:rPr>
              <w:t xml:space="preserve">3</w:t>
            </w:r>
          </w:p>
        </w:tc>
        <w:tc>
          <w:tcPr>
            <w:tcW w:type="dxa" w:w="4200"/>
            <w:tcMar>
              <w:top w:type="dxa" w:w="70"/>
              <w:left w:type="dxa" w:w="90"/>
              <w:bottom w:type="dxa" w:w="70"/>
              <w:right w:type="dxa" w:w="90"/>
            </w:tcMar>
          </w:tcPr>
          <w:p>
            <w:r>
              <w:rPr>
                <w:b w:val="false"/>
                <w:bCs w:val="false"/>
                <w:sz w:val="17"/>
                <w:szCs w:val="17"/>
              </w:rPr>
              <w:t xml:space="preserve">MainNet key management policy</w:t>
            </w:r>
          </w:p>
        </w:tc>
        <w:tc>
          <w:tcPr>
            <w:tcW w:type="dxa" w:w="4460"/>
            <w:tcMar>
              <w:top w:type="dxa" w:w="70"/>
              <w:left w:type="dxa" w:w="90"/>
              <w:bottom w:type="dxa" w:w="70"/>
              <w:right w:type="dxa" w:w="90"/>
            </w:tcMar>
          </w:tcPr>
          <w:p>
            <w:r>
              <w:rPr>
                <w:b w:val="false"/>
                <w:bCs w:val="false"/>
                <w:sz w:val="17"/>
                <w:szCs w:val="17"/>
              </w:rPr>
              <w:t xml:space="preserve">PoLi-DEF-01 Finding 1. Cannot be written responsibly until rotation is safe. Any managed key service option touches AWS billing account 472151629788: FLAG, do not action.</w:t>
            </w:r>
          </w:p>
        </w:tc>
      </w:tr>
      <w:tr>
        <w:trPr>
          <w:tblHeader w:val="false"/>
        </w:trPr>
        <w:tc>
          <w:tcPr>
            <w:tcW w:type="dxa" w:w="700"/>
            <w:tcMar>
              <w:top w:type="dxa" w:w="70"/>
              <w:left w:type="dxa" w:w="90"/>
              <w:bottom w:type="dxa" w:w="70"/>
              <w:right w:type="dxa" w:w="90"/>
            </w:tcMar>
          </w:tcPr>
          <w:p>
            <w:r>
              <w:rPr>
                <w:b w:val="false"/>
                <w:bCs w:val="false"/>
                <w:sz w:val="17"/>
                <w:szCs w:val="17"/>
              </w:rPr>
              <w:t xml:space="preserve">4</w:t>
            </w:r>
          </w:p>
        </w:tc>
        <w:tc>
          <w:tcPr>
            <w:tcW w:type="dxa" w:w="4200"/>
            <w:tcMar>
              <w:top w:type="dxa" w:w="70"/>
              <w:left w:type="dxa" w:w="90"/>
              <w:bottom w:type="dxa" w:w="70"/>
              <w:right w:type="dxa" w:w="90"/>
            </w:tcMar>
          </w:tcPr>
          <w:p>
            <w:r>
              <w:rPr>
                <w:b w:val="false"/>
                <w:bCs w:val="false"/>
                <w:sz w:val="17"/>
                <w:szCs w:val="17"/>
              </w:rPr>
              <w:t xml:space="preserve">Monitoring and alerting</w:t>
            </w:r>
          </w:p>
        </w:tc>
        <w:tc>
          <w:tcPr>
            <w:tcW w:type="dxa" w:w="4460"/>
            <w:tcMar>
              <w:top w:type="dxa" w:w="70"/>
              <w:left w:type="dxa" w:w="90"/>
              <w:bottom w:type="dxa" w:w="70"/>
              <w:right w:type="dxa" w:w="90"/>
            </w:tcMar>
          </w:tcPr>
          <w:p>
            <w:r>
              <w:rPr>
                <w:b w:val="false"/>
                <w:bCs w:val="false"/>
                <w:sz w:val="17"/>
                <w:szCs w:val="17"/>
              </w:rPr>
              <w:t xml:space="preserve">Nothing exists. Section 8 is a specification, not a description.</w:t>
            </w:r>
          </w:p>
        </w:tc>
      </w:tr>
      <w:tr>
        <w:trPr>
          <w:tblHeader w:val="false"/>
        </w:trPr>
        <w:tc>
          <w:tcPr>
            <w:tcW w:type="dxa" w:w="700"/>
            <w:tcMar>
              <w:top w:type="dxa" w:w="70"/>
              <w:left w:type="dxa" w:w="90"/>
              <w:bottom w:type="dxa" w:w="70"/>
              <w:right w:type="dxa" w:w="90"/>
            </w:tcMar>
          </w:tcPr>
          <w:p>
            <w:r>
              <w:rPr>
                <w:b w:val="false"/>
                <w:bCs w:val="false"/>
                <w:sz w:val="17"/>
                <w:szCs w:val="17"/>
              </w:rPr>
              <w:t xml:space="preserve">5</w:t>
            </w:r>
          </w:p>
        </w:tc>
        <w:tc>
          <w:tcPr>
            <w:tcW w:type="dxa" w:w="4200"/>
            <w:tcMar>
              <w:top w:type="dxa" w:w="70"/>
              <w:left w:type="dxa" w:w="90"/>
              <w:bottom w:type="dxa" w:w="70"/>
              <w:right w:type="dxa" w:w="90"/>
            </w:tcMar>
          </w:tcPr>
          <w:p>
            <w:r>
              <w:rPr>
                <w:b w:val="false"/>
                <w:bCs w:val="false"/>
                <w:sz w:val="17"/>
                <w:szCs w:val="17"/>
              </w:rPr>
              <w:t xml:space="preserve">DACT coverage source of truth</w:t>
            </w:r>
          </w:p>
        </w:tc>
        <w:tc>
          <w:tcPr>
            <w:tcW w:type="dxa" w:w="4460"/>
            <w:tcMar>
              <w:top w:type="dxa" w:w="70"/>
              <w:left w:type="dxa" w:w="90"/>
              <w:bottom w:type="dxa" w:w="70"/>
              <w:right w:type="dxa" w:w="90"/>
            </w:tcMar>
          </w:tcPr>
          <w:p>
            <w:r>
              <w:rPr>
                <w:b w:val="false"/>
                <w:bCs w:val="false"/>
                <w:sz w:val="17"/>
                <w:szCs w:val="17"/>
              </w:rPr>
              <w:t xml:space="preserve">config/coverage.json is hand-transcribed and does not reconcile with the commercial matrix. See DACT-HDR-01. The adapter is reading the config, not the matrix.</w:t>
            </w:r>
          </w:p>
        </w:tc>
      </w:tr>
      <w:tr>
        <w:trPr>
          <w:tblHeader w:val="false"/>
        </w:trPr>
        <w:tc>
          <w:tcPr>
            <w:tcW w:type="dxa" w:w="700"/>
            <w:tcMar>
              <w:top w:type="dxa" w:w="70"/>
              <w:left w:type="dxa" w:w="90"/>
              <w:bottom w:type="dxa" w:w="70"/>
              <w:right w:type="dxa" w:w="90"/>
            </w:tcMar>
          </w:tcPr>
          <w:p>
            <w:r>
              <w:rPr>
                <w:b w:val="false"/>
                <w:bCs w:val="false"/>
                <w:sz w:val="17"/>
                <w:szCs w:val="17"/>
              </w:rPr>
              <w:t xml:space="preserve">6</w:t>
            </w:r>
          </w:p>
        </w:tc>
        <w:tc>
          <w:tcPr>
            <w:tcW w:type="dxa" w:w="4200"/>
            <w:tcMar>
              <w:top w:type="dxa" w:w="70"/>
              <w:left w:type="dxa" w:w="90"/>
              <w:bottom w:type="dxa" w:w="70"/>
              <w:right w:type="dxa" w:w="90"/>
            </w:tcMar>
          </w:tcPr>
          <w:p>
            <w:r>
              <w:rPr>
                <w:b w:val="false"/>
                <w:bCs w:val="false"/>
                <w:sz w:val="17"/>
                <w:szCs w:val="17"/>
              </w:rPr>
              <w:t xml:space="preserve">Consumer entitlement model</w:t>
            </w:r>
          </w:p>
        </w:tc>
        <w:tc>
          <w:tcPr>
            <w:tcW w:type="dxa" w:w="4460"/>
            <w:tcMar>
              <w:top w:type="dxa" w:w="70"/>
              <w:left w:type="dxa" w:w="90"/>
              <w:bottom w:type="dxa" w:w="70"/>
              <w:right w:type="dxa" w:w="90"/>
            </w:tcMar>
          </w:tcPr>
          <w:p>
            <w:r>
              <w:rPr>
                <w:b w:val="false"/>
                <w:bCs w:val="false"/>
                <w:sz w:val="17"/>
                <w:szCs w:val="17"/>
              </w:rPr>
              <w:t xml:space="preserve">Not specified. POLI-REJ-002 is dormant.</w:t>
            </w:r>
          </w:p>
        </w:tc>
      </w:tr>
    </w:tbl>
    <w:p>
      <w:pPr>
        <w:spacing w:after="140"/>
      </w:pPr>
      <w:r>
        <w:rPr>
          <w:sz w:val="21"/>
          <w:szCs w:val="21"/>
        </w:rPr>
        <w:t xml:space="preserve"/>
      </w:r>
    </w:p>
    <w:p>
      <w:pPr>
        <w:pStyle w:val="Heading1"/>
        <w:spacing w:after="140" w:before="260"/>
      </w:pPr>
      <w:r>
        <w:rPr>
          <w:b/>
          <w:bCs/>
        </w:rPr>
        <w:t xml:space="preserve">10. Standing cautions</w:t>
      </w:r>
    </w:p>
    <w:p>
      <w:pPr>
        <w:spacing w:after="140"/>
      </w:pPr>
      <w:r>
        <w:rPr>
          <w:b/>
          <w:bCs/>
          <w:sz w:val="21"/>
          <w:szCs w:val="21"/>
        </w:rPr>
        <w:t xml:space="preserve">Never output a full validator credential string. Party identifiers are truncated to the form stratalink-validator-1::1220cd wherever they appear.</w:t>
      </w:r>
    </w:p>
    <w:p>
      <w:pPr>
        <w:spacing w:after="140"/>
      </w:pPr>
      <w:r>
        <w:rPr>
          <w:b/>
          <w:bCs/>
          <w:sz w:val="21"/>
          <w:szCs w:val="21"/>
        </w:rPr>
        <w:t xml:space="preserve">Never modify the delivered Daml contracts. Whoever’s package hash is on MainNet is the party attesting. A self-modification transfers ownership of the attestation layer from IntellectEU to Stratalink and materially weakens the regulatory position.</w:t>
      </w:r>
    </w:p>
    <w:p>
      <w:pPr>
        <w:spacing w:after="140"/>
      </w:pPr>
      <w:r>
        <w:rPr>
          <w:b/>
          <w:bCs/>
          <w:sz w:val="21"/>
          <w:szCs w:val="21"/>
        </w:rPr>
        <w:t xml:space="preserve">Anything touching AWS billing account 472151629788 or the finance@stratalink.ai alias is flagged, not actioned.</w:t>
      </w:r>
    </w:p>
    <w:p>
      <w:pPr>
        <w:spacing w:after="140"/>
      </w:pPr>
      <w:r>
        <w:rPr>
          <w:b/>
          <w:bCs/>
          <w:sz w:val="21"/>
          <w:szCs w:val="21"/>
        </w:rPr>
        <w:t xml:space="preserve">Terminal paste is unreliable. Bracketed-paste artefacts and shell history expansion will mangle long values. Long .env values go through a text editor, never through the shell. Heredocs have corrupted .env twice.</w:t>
      </w:r>
    </w:p>
    <w:p>
      <w:pPr>
        <w:spacing w:after="140"/>
      </w:pPr>
      <w:r>
        <w:rPr>
          <w:sz w:val="21"/>
          <w:szCs w:val="21"/>
        </w:rPr>
        <w:t xml:space="preserve"/>
      </w:r>
    </w:p>
    <w:p>
      <w:pPr>
        <w:spacing w:after="140"/>
      </w:pPr>
      <w:r>
        <w:rPr>
          <w:sz w:val="21"/>
          <w:szCs w:val="21"/>
        </w:rPr>
        <w:t xml:space="preserve">And the one that matters most, which is not an operational caution but is the reason this runbook is provisional:</w:t>
      </w:r>
    </w:p>
    <w:p>
      <w:pPr>
        <w:spacing w:after="140"/>
      </w:pPr>
      <w:r>
        <w:rPr>
          <w:b/>
          <w:bCs/>
          <w:sz w:val="21"/>
          <w:szCs w:val="21"/>
        </w:rPr>
        <w:t xml:space="preserve">Every attestation the adapter has issued carries a score that came from a stub and was never derived from an order book. Those attestations verify perfectly. A signature over fabricated scores is still a valid signature. Until STRATA scoring is integrated, this system produces cryptographically impeccable statements about nothing.</w:t>
      </w:r>
    </w:p>
    <w:p>
      <w:pPr>
        <w:spacing w:after="140"/>
      </w:pPr>
      <w:r>
        <w:rPr>
          <w:sz w:val="21"/>
          <w:szCs w:val="21"/>
        </w:rPr>
        <w:t xml:space="preserve"/>
      </w:r>
    </w:p>
    <w:p>
      <w:pPr>
        <w:spacing w:after="140"/>
      </w:pPr>
      <w:r>
        <w:rPr>
          <w:sz w:val="21"/>
          <w:szCs w:val="21"/>
        </w:rPr>
        <w:t xml:space="preserve">Rob McDermott</w:t>
      </w:r>
    </w:p>
    <w:p>
      <w:pPr>
        <w:spacing w:after="140"/>
      </w:pPr>
      <w:r>
        <w:rPr>
          <w:sz w:val="21"/>
          <w:szCs w:val="21"/>
        </w:rPr>
        <w:t xml:space="preserve">Founder and CEO, Stratalink Labs Ltd</w:t>
      </w:r>
    </w:p>
    <w:p>
      <w:pPr>
        <w:spacing w:after="140"/>
      </w:pPr>
      <w:r>
        <w:rPr>
          <w:sz w:val="21"/>
          <w:szCs w:val="21"/>
        </w:rPr>
        <w:t xml:space="preserve">13 July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2026-07-13T22:18:02.721Z</dcterms:created>
  <dcterms:modified xsi:type="dcterms:W3CDTF">2026-07-13T22:18:02.738Z</dcterms:modified>
</cp:coreProperties>
</file>

<file path=docProps/custom.xml><?xml version="1.0" encoding="utf-8"?>
<Properties xmlns="http://schemas.openxmlformats.org/officeDocument/2006/custom-properties" xmlns:vt="http://schemas.openxmlformats.org/officeDocument/2006/docPropsVTypes"/>
</file>