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76265C" w14:textId="77777777" w:rsidR="00D56334" w:rsidRDefault="00000000">
      <w:pPr>
        <w:spacing w:after="60"/>
      </w:pPr>
      <w:r>
        <w:rPr>
          <w:b/>
          <w:bCs/>
          <w:color w:val="0D1E3A"/>
          <w:sz w:val="44"/>
          <w:szCs w:val="44"/>
        </w:rPr>
        <w:t>PoLi Oracle</w:t>
      </w:r>
    </w:p>
    <w:p w14:paraId="44AA8C03" w14:textId="77777777" w:rsidR="00D56334" w:rsidRDefault="00000000">
      <w:pPr>
        <w:spacing w:after="40"/>
      </w:pPr>
      <w:r>
        <w:rPr>
          <w:color w:val="1B4F8A"/>
          <w:sz w:val="36"/>
          <w:szCs w:val="36"/>
        </w:rPr>
        <w:t>Build Action Plan</w:t>
      </w:r>
    </w:p>
    <w:p w14:paraId="5DCA1AD7" w14:textId="77777777" w:rsidR="00D56334" w:rsidRDefault="00000000">
      <w:pPr>
        <w:pBdr>
          <w:bottom w:val="single" w:sz="8" w:space="1" w:color="C9A84C"/>
        </w:pBdr>
        <w:spacing w:after="200"/>
      </w:pPr>
      <w:r>
        <w:rPr>
          <w:color w:val="333333"/>
        </w:rPr>
        <w:t>Post-IEU Handover  |  23 June 2026</w:t>
      </w:r>
    </w:p>
    <w:p w14:paraId="2D749C73" w14:textId="77777777" w:rsidR="00D56334" w:rsidRDefault="00000000">
      <w:pPr>
        <w:pStyle w:val="Heading1"/>
        <w:spacing w:after="120"/>
      </w:pPr>
      <w:r>
        <w:t>Context</w:t>
      </w:r>
    </w:p>
    <w:p w14:paraId="6DA2A24B" w14:textId="77777777" w:rsidR="00D56334" w:rsidRDefault="00000000">
      <w:pPr>
        <w:spacing w:after="120"/>
      </w:pPr>
      <w:r>
        <w:rPr>
          <w:color w:val="333333"/>
        </w:rPr>
        <w:t xml:space="preserve">IntellectEU has completed delivery of the PoLi Oracle Daml contract layer across four sprints under SOW #USGTC 20260010. All sprints have been accepted. The contract logic is functional on DevNet with full end-to-end verification confirmed via the Bruno API collection on 22 June 2026.</w:t>
      </w:r>
    </w:p>
    <w:p w14:paraId="13391222" w14:textId="77777777" w:rsidR="00D56334" w:rsidRDefault="00000000">
      <w:pPr>
        <w:spacing w:after="120"/>
      </w:pPr>
      <w:r>
        <w:rPr>
          <w:color w:val="333333"/>
        </w:rPr>
        <w:t>This action plan covers the work required on the Stratalink side to take the delivered contracts into a production-ready PoLi Oracle service. Items are grouped into five phases, ordered by dependency. Phase 0 must be completed before any coding begins.</w:t>
      </w:r>
    </w:p>
    <w:p>
      <w:r>
        <w:rPr>
          <w:b/>
          <w:bCs/>
          <w:color w:val="0D1E3A"/>
          <w:sz w:val="20"/>
          <w:szCs w:val="20"/>
        </w:rPr>
        <w:t xml:space="preserve">Progress as of 13 July 2026. Phase 3 is CLOSED, per the Phase 3 Closure Record (PoLi-P3-CLOSE-01, 13 July 2026). Items 01, 03 and 04 are built and proven on-ledger; item 02 is closed by descope. Phase 0 is complete. Phase 1 is complete on the local sandbox, with items 01 and 02 still sandbox-only and unverified against DevNet. Phase 2 items 01 to 04 are complete. Phase 2 item 05, STRATA AI scoring, is now BLOCKED rather than merely outstanding, because the five-factor STRATA composite does not map onto the four score fields the contract carries.</w:t>
      </w:r>
    </w:p>
    <w:p>
      <w:r>
        <w:rPr>
          <w:color w:val="333333"/>
          <w:sz w:val="20"/>
          <w:szCs w:val="20"/>
        </w:rPr>
        <w:t xml:space="preserve">Three paths were exercised end to end on the sandbox on 12 July: ATTEST for BTC/USD, producing a PoLiAttestation with ten live venues named; REJECT for SHIB/USD, producing a RejectedAttestationRequest carrying a coded, parseable reason; and PARK for BUIDL/USD, producing nothing on-ledger and a durable record of why. The parked store survives process death and does not re-decide.</w:t>
      </w:r>
    </w:p>
    <w:p>
      <w:r>
        <w:rPr>
          <w:color w:val="333333"/>
          <w:sz w:val="20"/>
          <w:szCs w:val="20"/>
        </w:rPr>
        <w:t xml:space="preserve">Two workstreams now sit ahead of further building. PoLi-VER-01, a 24-test verification of the delivered contract, of which one test has been run. And PoLi-CR-01 v2.3, a four-field change request to IntellectEU which should not be sent until that verification is complete. Both are described in the new Phase 5 below.</w:t>
      </w:r>
    </w:p>
    <w:p w14:paraId="0F7951A2" w14:textId="77777777" w:rsidR="00D56334" w:rsidRDefault="00D56334">
      <w:pPr>
        <w:spacing w:after="60"/>
      </w:pPr>
    </w:p>
    <w:p w14:paraId="3C3D7EEE" w14:textId="77777777" w:rsidR="00D56334" w:rsidRDefault="00000000">
      <w:pPr>
        <w:pStyle w:val="Heading1"/>
        <w:spacing w:after="120"/>
      </w:pPr>
      <w:r>
        <w:t>Phase 0: Prerequisites (before any code)</w:t>
      </w:r>
    </w:p>
    <w:p w14:paraId="1E3B4A74" w14:textId="77777777" w:rsidR="00D56334" w:rsidRDefault="00000000">
      <w:pPr>
        <w:spacing w:after="120"/>
      </w:pPr>
      <w:r>
        <w:rPr>
          <w:color w:val="333333"/>
        </w:rPr>
        <w:t>These items unblock everything else. They require no application code and can be completed today.</w:t>
      </w:r>
    </w:p>
    <w:p w14:paraId="63A3FD62" w14:textId="77777777" w:rsidR="00D56334" w:rsidRDefault="00D56334">
      <w:pPr>
        <w:spacing w:after="60"/>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1200"/>
        <w:gridCol w:w="1200"/>
        <w:gridCol w:w="3154"/>
      </w:tblGrid>
      <w:tr w:rsidR="00D56334" w14:paraId="325A6292" w14:textId="77777777">
        <w:tblPrEx>
          <w:tblCellMar>
            <w:top w:w="0" w:type="dxa"/>
            <w:bottom w:w="0" w:type="dxa"/>
          </w:tblCellMar>
        </w:tblPrEx>
        <w:tc>
          <w:tcPr>
            <w:tcW w:w="600" w:type="dxa"/>
            <w:tcBorders>
              <w:top w:val="single" w:sz="1" w:space="0" w:color="D0D4DC"/>
              <w:left w:val="single" w:sz="1" w:space="0" w:color="D0D4DC"/>
              <w:bottom w:val="single" w:sz="1" w:space="0" w:color="D0D4DC"/>
              <w:right w:val="single" w:sz="1" w:space="0" w:color="D0D4DC"/>
            </w:tcBorders>
            <w:shd w:val="clear" w:color="auto" w:fill="0D1E3A"/>
            <w:tcMar>
              <w:top w:w="80" w:type="dxa"/>
              <w:left w:w="120" w:type="dxa"/>
              <w:bottom w:w="80" w:type="dxa"/>
              <w:right w:w="120" w:type="dxa"/>
            </w:tcMar>
          </w:tcPr>
          <w:p w14:paraId="253C901D" w14:textId="77777777" w:rsidR="00D56334" w:rsidRDefault="00000000">
            <w:r>
              <w:rPr>
                <w:b/>
                <w:bCs/>
                <w:color w:val="FFFFFF"/>
                <w:sz w:val="18"/>
                <w:szCs w:val="18"/>
              </w:rPr>
              <w:t>#</w:t>
            </w:r>
          </w:p>
        </w:tc>
        <w:tc>
          <w:tcPr>
            <w:tcW w:w="3200" w:type="dxa"/>
            <w:tcBorders>
              <w:top w:val="single" w:sz="1" w:space="0" w:color="D0D4DC"/>
              <w:left w:val="single" w:sz="1" w:space="0" w:color="D0D4DC"/>
              <w:bottom w:val="single" w:sz="1" w:space="0" w:color="D0D4DC"/>
              <w:right w:val="single" w:sz="1" w:space="0" w:color="D0D4DC"/>
            </w:tcBorders>
            <w:shd w:val="clear" w:color="auto" w:fill="0D1E3A"/>
            <w:tcMar>
              <w:top w:w="80" w:type="dxa"/>
              <w:left w:w="120" w:type="dxa"/>
              <w:bottom w:w="80" w:type="dxa"/>
              <w:right w:w="120" w:type="dxa"/>
            </w:tcMar>
          </w:tcPr>
          <w:p w14:paraId="1F717783" w14:textId="77777777" w:rsidR="00D56334" w:rsidRDefault="00000000">
            <w:r>
              <w:rPr>
                <w:b/>
                <w:bCs/>
                <w:color w:val="FFFFFF"/>
                <w:sz w:val="18"/>
                <w:szCs w:val="18"/>
              </w:rPr>
              <w:t>Action Item</w:t>
            </w:r>
          </w:p>
        </w:tc>
        <w:tc>
          <w:tcPr>
            <w:tcW w:w="1200" w:type="dxa"/>
            <w:tcBorders>
              <w:top w:val="single" w:sz="1" w:space="0" w:color="D0D4DC"/>
              <w:left w:val="single" w:sz="1" w:space="0" w:color="D0D4DC"/>
              <w:bottom w:val="single" w:sz="1" w:space="0" w:color="D0D4DC"/>
              <w:right w:val="single" w:sz="1" w:space="0" w:color="D0D4DC"/>
            </w:tcBorders>
            <w:shd w:val="clear" w:color="auto" w:fill="0D1E3A"/>
            <w:tcMar>
              <w:top w:w="80" w:type="dxa"/>
              <w:left w:w="120" w:type="dxa"/>
              <w:bottom w:w="80" w:type="dxa"/>
              <w:right w:w="120" w:type="dxa"/>
            </w:tcMar>
          </w:tcPr>
          <w:p w14:paraId="5F02A14C" w14:textId="77777777" w:rsidR="00D56334" w:rsidRDefault="00000000">
            <w:r>
              <w:rPr>
                <w:b/>
                <w:bCs/>
                <w:color w:val="FFFFFF"/>
                <w:sz w:val="18"/>
                <w:szCs w:val="18"/>
              </w:rPr>
              <w:t>Owner</w:t>
            </w:r>
          </w:p>
        </w:tc>
        <w:tc>
          <w:tcPr>
            <w:tcW w:w="1200" w:type="dxa"/>
            <w:tcBorders>
              <w:top w:val="single" w:sz="1" w:space="0" w:color="D0D4DC"/>
              <w:left w:val="single" w:sz="1" w:space="0" w:color="D0D4DC"/>
              <w:bottom w:val="single" w:sz="1" w:space="0" w:color="D0D4DC"/>
              <w:right w:val="single" w:sz="1" w:space="0" w:color="D0D4DC"/>
            </w:tcBorders>
            <w:shd w:val="clear" w:color="auto" w:fill="0D1E3A"/>
            <w:tcMar>
              <w:top w:w="80" w:type="dxa"/>
              <w:left w:w="120" w:type="dxa"/>
              <w:bottom w:w="80" w:type="dxa"/>
              <w:right w:w="120" w:type="dxa"/>
            </w:tcMar>
          </w:tcPr>
          <w:p w14:paraId="02F2D01B" w14:textId="77777777" w:rsidR="00D56334" w:rsidRDefault="00000000">
            <w:r>
              <w:rPr>
                <w:b/>
                <w:bCs/>
                <w:color w:val="FFFFFF"/>
                <w:sz w:val="18"/>
                <w:szCs w:val="18"/>
              </w:rPr>
              <w:t>Status</w:t>
            </w:r>
          </w:p>
        </w:tc>
        <w:tc>
          <w:tcPr>
            <w:tcW w:w="3154" w:type="dxa"/>
            <w:tcBorders>
              <w:top w:val="single" w:sz="1" w:space="0" w:color="D0D4DC"/>
              <w:left w:val="single" w:sz="1" w:space="0" w:color="D0D4DC"/>
              <w:bottom w:val="single" w:sz="1" w:space="0" w:color="D0D4DC"/>
              <w:right w:val="single" w:sz="1" w:space="0" w:color="D0D4DC"/>
            </w:tcBorders>
            <w:shd w:val="clear" w:color="auto" w:fill="0D1E3A"/>
            <w:tcMar>
              <w:top w:w="80" w:type="dxa"/>
              <w:left w:w="120" w:type="dxa"/>
              <w:bottom w:w="80" w:type="dxa"/>
              <w:right w:w="120" w:type="dxa"/>
            </w:tcMar>
          </w:tcPr>
          <w:p w14:paraId="38265A13" w14:textId="77777777" w:rsidR="00D56334" w:rsidRDefault="00000000">
            <w:r>
              <w:rPr>
                <w:b/>
                <w:bCs/>
                <w:color w:val="FFFFFF"/>
                <w:sz w:val="18"/>
                <w:szCs w:val="18"/>
              </w:rPr>
              <w:t>Notes</w:t>
            </w:r>
          </w:p>
        </w:tc>
      </w:tr>
      <w:tr w:rsidR="00D56334" w14:paraId="2AA79DC5" w14:textId="77777777">
        <w:tblPrEx>
          <w:tblCellMar>
            <w:top w:w="0" w:type="dxa"/>
            <w:bottom w:w="0" w:type="dxa"/>
          </w:tblCellMar>
        </w:tblPrEx>
        <w:tc>
          <w:tcPr>
            <w:tcW w:w="6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50845973" w14:textId="77777777" w:rsidR="00D56334" w:rsidRDefault="00000000">
            <w:r>
              <w:rPr>
                <w:color w:val="333333"/>
                <w:sz w:val="18"/>
                <w:szCs w:val="18"/>
              </w:rPr>
              <w:t>01</w:t>
            </w:r>
          </w:p>
        </w:tc>
        <w:tc>
          <w:tcPr>
            <w:tcW w:w="3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00686587" w14:textId="77777777" w:rsidR="00D56334" w:rsidRDefault="00000000">
            <w:r>
              <w:rPr>
                <w:color w:val="333333"/>
                <w:sz w:val="18"/>
                <w:szCs w:val="18"/>
              </w:rPr>
              <w:t>Generate SECP256K1 keypair for DevNet</w:t>
            </w:r>
          </w:p>
        </w:tc>
        <w:tc>
          <w:tcPr>
            <w:tcW w:w="1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400B89DD" w14:textId="77777777" w:rsidR="00D56334" w:rsidRDefault="00000000">
            <w:r>
              <w:rPr>
                <w:color w:val="333333"/>
                <w:sz w:val="18"/>
                <w:szCs w:val="18"/>
              </w:rPr>
              <w:t>Rob</w:t>
            </w:r>
          </w:p>
        </w:tc>
        <w:tc>
          <w:tcPr>
            <w:tcW w:w="1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15B4C85E" w14:textId="77777777" w:rsidR="00D56334" w:rsidRDefault="00000000">
            <w:pPr>
              <w:jc w:val="center"/>
            </w:pPr>
            <w:r>
              <w:rPr>
                <w:b/>
                <w:bCs/>
                <w:color w:val="2E7D32"/>
                <w:sz w:val="18"/>
                <w:szCs w:val="18"/>
              </w:rPr>
              <w:t>COMPLETE</w:t>
            </w:r>
          </w:p>
        </w:tc>
        <w:tc>
          <w:tcPr>
            <w:tcW w:w="3154"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53778149" w14:textId="77777777" w:rsidR="00D56334" w:rsidRDefault="00000000">
            <w:r>
              <w:rPr>
                <w:color w:val="333333"/>
                <w:sz w:val="18"/>
                <w:szCs w:val="18"/>
              </w:rPr>
              <w:t>OpenSSL command: generate private key, extract DER-encoded compressed public key as hex string (see Appendix A). Store private key securely. This is NOT the IEU test key visible in the Bruno screenshots.</w:t>
            </w:r>
          </w:p>
        </w:tc>
      </w:tr>
      <w:tr w:rsidR="00D56334" w14:paraId="49E55CA9" w14:textId="77777777">
        <w:tblPrEx>
          <w:tblCellMar>
            <w:top w:w="0" w:type="dxa"/>
            <w:bottom w:w="0" w:type="dxa"/>
          </w:tblCellMar>
        </w:tblPrEx>
        <w:tc>
          <w:tcPr>
            <w:tcW w:w="6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7B5C56A5" w14:textId="77777777" w:rsidR="00D56334" w:rsidRDefault="00000000">
            <w:r>
              <w:rPr>
                <w:color w:val="333333"/>
                <w:sz w:val="18"/>
                <w:szCs w:val="18"/>
              </w:rPr>
              <w:t>02</w:t>
            </w:r>
          </w:p>
        </w:tc>
        <w:tc>
          <w:tcPr>
            <w:tcW w:w="3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2074EE1B" w14:textId="77777777" w:rsidR="00D56334" w:rsidRDefault="00000000">
            <w:r>
              <w:rPr>
                <w:color w:val="333333"/>
                <w:sz w:val="18"/>
                <w:szCs w:val="18"/>
              </w:rPr>
              <w:t>Generate separate SECP256K1 keypair for MainNet</w:t>
            </w:r>
          </w:p>
        </w:tc>
        <w:tc>
          <w:tcPr>
            <w:tcW w:w="1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40DF4685" w14:textId="77777777" w:rsidR="00D56334" w:rsidRDefault="00000000">
            <w:r>
              <w:rPr>
                <w:color w:val="333333"/>
                <w:sz w:val="18"/>
                <w:szCs w:val="18"/>
              </w:rPr>
              <w:t>Rob</w:t>
            </w:r>
          </w:p>
        </w:tc>
        <w:tc>
          <w:tcPr>
            <w:tcW w:w="1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50A12572" w14:textId="77777777" w:rsidR="00D56334" w:rsidRDefault="00000000">
            <w:pPr>
              <w:jc w:val="center"/>
            </w:pPr>
            <w:r>
              <w:rPr>
                <w:b/>
                <w:bCs/>
                <w:color w:val="2E7D32"/>
                <w:sz w:val="18"/>
                <w:szCs w:val="18"/>
              </w:rPr>
              <w:t>COMPLETE</w:t>
            </w:r>
          </w:p>
        </w:tc>
        <w:tc>
          <w:tcPr>
            <w:tcW w:w="3154"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51266B0B" w14:textId="77777777" w:rsidR="00D56334" w:rsidRDefault="00000000">
            <w:r>
              <w:rPr>
                <w:color w:val="333333"/>
                <w:sz w:val="18"/>
                <w:szCs w:val="18"/>
              </w:rPr>
              <w:t xml:space="preserve">Separate keypair for production. Private key must never be shared. MainNet public key registered via CreateOrchestrator when ready.</w:t>
            </w:r>
          </w:p>
        </w:tc>
      </w:tr>
      <w:tr w:rsidR="00D56334" w14:paraId="1C1B66AB" w14:textId="77777777">
        <w:tblPrEx>
          <w:tblCellMar>
            <w:top w:w="0" w:type="dxa"/>
            <w:bottom w:w="0" w:type="dxa"/>
          </w:tblCellMar>
        </w:tblPrEx>
        <w:tc>
          <w:tcPr>
            <w:tcW w:w="6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7F20AD29" w14:textId="77777777" w:rsidR="00D56334" w:rsidRDefault="00000000">
            <w:r>
              <w:rPr>
                <w:color w:val="333333"/>
                <w:sz w:val="18"/>
                <w:szCs w:val="18"/>
              </w:rPr>
              <w:t>03</w:t>
            </w:r>
          </w:p>
        </w:tc>
        <w:tc>
          <w:tcPr>
            <w:tcW w:w="3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23A00212" w14:textId="77777777" w:rsidR="00D56334" w:rsidRDefault="00000000">
            <w:r>
              <w:rPr>
                <w:color w:val="333333"/>
                <w:sz w:val="18"/>
                <w:szCs w:val="18"/>
              </w:rPr>
              <w:t>Confirm repo has been cloned from IEU</w:t>
            </w:r>
          </w:p>
        </w:tc>
        <w:tc>
          <w:tcPr>
            <w:tcW w:w="1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4C7C2FE6" w14:textId="77777777" w:rsidR="00D56334" w:rsidRDefault="00000000">
            <w:r>
              <w:rPr>
                <w:color w:val="333333"/>
                <w:sz w:val="18"/>
                <w:szCs w:val="18"/>
              </w:rPr>
              <w:t>Rob</w:t>
            </w:r>
          </w:p>
        </w:tc>
        <w:tc>
          <w:tcPr>
            <w:tcW w:w="1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53466FB5" w14:textId="77777777" w:rsidR="00D56334" w:rsidRDefault="00000000">
            <w:pPr>
              <w:jc w:val="center"/>
            </w:pPr>
            <w:r>
              <w:rPr>
                <w:b/>
                <w:bCs/>
                <w:color w:val="2E7D32"/>
                <w:sz w:val="18"/>
                <w:szCs w:val="18"/>
              </w:rPr>
              <w:t>COMPLETE</w:t>
            </w:r>
          </w:p>
        </w:tc>
        <w:tc>
          <w:tcPr>
            <w:tcW w:w="3154"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503854D6" w14:textId="77777777" w:rsidR="00D56334" w:rsidRDefault="00000000">
            <w:r>
              <w:rPr>
                <w:color w:val="333333"/>
                <w:sz w:val="18"/>
                <w:szCs w:val="18"/>
              </w:rPr>
              <w:t xml:space="preserve">Action item from Sprint 2. David Martins walked through the setup. Confirm you have the repo and can build the Daml project locally.</w:t>
            </w:r>
          </w:p>
        </w:tc>
      </w:tr>
      <w:tr w:rsidR="00D56334" w14:paraId="32EDAB6B" w14:textId="77777777">
        <w:tblPrEx>
          <w:tblCellMar>
            <w:top w:w="0" w:type="dxa"/>
            <w:bottom w:w="0" w:type="dxa"/>
          </w:tblCellMar>
        </w:tblPrEx>
        <w:tc>
          <w:tcPr>
            <w:tcW w:w="6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623E6830" w14:textId="77777777" w:rsidR="00D56334" w:rsidRDefault="00000000">
            <w:r>
              <w:rPr>
                <w:color w:val="333333"/>
                <w:sz w:val="18"/>
                <w:szCs w:val="18"/>
              </w:rPr>
              <w:t>04</w:t>
            </w:r>
          </w:p>
        </w:tc>
        <w:tc>
          <w:tcPr>
            <w:tcW w:w="3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0F2FF0E0" w14:textId="77777777" w:rsidR="00D56334" w:rsidRDefault="00000000">
            <w:r>
              <w:rPr>
                <w:color w:val="333333"/>
                <w:sz w:val="18"/>
                <w:szCs w:val="18"/>
              </w:rPr>
              <w:t>Confirm Docker container delivered in Sprint 4</w:t>
            </w:r>
          </w:p>
        </w:tc>
        <w:tc>
          <w:tcPr>
            <w:tcW w:w="1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3D388962" w14:textId="77777777" w:rsidR="00D56334" w:rsidRDefault="00000000">
            <w:r>
              <w:rPr>
                <w:color w:val="333333"/>
                <w:sz w:val="18"/>
                <w:szCs w:val="18"/>
              </w:rPr>
              <w:t>Rob</w:t>
            </w:r>
          </w:p>
        </w:tc>
        <w:tc>
          <w:tcPr>
            <w:tcW w:w="1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3CFB3D6F" w14:textId="77777777" w:rsidR="00D56334" w:rsidRDefault="00000000">
            <w:pPr>
              <w:jc w:val="center"/>
            </w:pPr>
            <w:r>
              <w:rPr>
                <w:b/>
                <w:bCs/>
                <w:color w:val="2E7D32"/>
                <w:sz w:val="18"/>
                <w:szCs w:val="18"/>
              </w:rPr>
              <w:t>COMPLETE</w:t>
            </w:r>
          </w:p>
        </w:tc>
        <w:tc>
          <w:tcPr>
            <w:tcW w:w="3154"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0D709415" w14:textId="77777777" w:rsidR="00D56334" w:rsidRDefault="00000000">
            <w:r>
              <w:rPr>
                <w:color w:val="333333"/>
                <w:sz w:val="18"/>
                <w:szCs w:val="18"/>
              </w:rPr>
              <w:t>Anastasiia (infrastructure) was preparing this. If delivered, you can run the Canton sandbox locally via Docker instead of hitting DevNet during development.</w:t>
            </w:r>
          </w:p>
        </w:tc>
      </w:tr>
      <w:tr w:rsidR="00D56334" w14:paraId="2C2FAD76" w14:textId="77777777">
        <w:tblPrEx>
          <w:tblCellMar>
            <w:top w:w="0" w:type="dxa"/>
            <w:bottom w:w="0" w:type="dxa"/>
          </w:tblCellMar>
        </w:tblPrEx>
        <w:tc>
          <w:tcPr>
            <w:tcW w:w="6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62D5EDC7" w14:textId="77777777" w:rsidR="00D56334" w:rsidRDefault="00000000">
            <w:r>
              <w:rPr>
                <w:color w:val="333333"/>
                <w:sz w:val="18"/>
                <w:szCs w:val="18"/>
              </w:rPr>
              <w:t>05</w:t>
            </w:r>
          </w:p>
        </w:tc>
        <w:tc>
          <w:tcPr>
            <w:tcW w:w="3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440FD731" w14:textId="77777777" w:rsidR="00D56334" w:rsidRDefault="00000000">
            <w:r>
              <w:rPr>
                <w:color w:val="333333"/>
                <w:sz w:val="18"/>
                <w:szCs w:val="18"/>
              </w:rPr>
              <w:t>Confirm CO party IDs for DevNet and MainNet</w:t>
            </w:r>
          </w:p>
        </w:tc>
        <w:tc>
          <w:tcPr>
            <w:tcW w:w="1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2EBF3BDB" w14:textId="77777777" w:rsidR="00D56334" w:rsidRDefault="00000000">
            <w:r>
              <w:rPr>
                <w:color w:val="333333"/>
                <w:sz w:val="18"/>
                <w:szCs w:val="18"/>
              </w:rPr>
              <w:t>Rob</w:t>
            </w:r>
          </w:p>
        </w:tc>
        <w:tc>
          <w:tcPr>
            <w:tcW w:w="1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79681E37" w14:textId="77777777" w:rsidR="00D56334" w:rsidRDefault="00000000">
            <w:pPr>
              <w:jc w:val="center"/>
            </w:pPr>
            <w:r>
              <w:rPr>
                <w:b/>
                <w:bCs/>
                <w:color w:val="2E7D32"/>
                <w:sz w:val="18"/>
                <w:szCs w:val="18"/>
              </w:rPr>
              <w:t>COMPLETE</w:t>
            </w:r>
          </w:p>
        </w:tc>
        <w:tc>
          <w:tcPr>
            <w:tcW w:w="3154"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2A5C2622" w14:textId="77777777" w:rsidR="00D56334" w:rsidRDefault="00000000">
            <w:r>
              <w:rPr>
                <w:color w:val="333333"/>
                <w:sz w:val="18"/>
                <w:szCs w:val="18"/>
              </w:rPr>
              <w:t>Resolved during Sprint 3 demo (identical except display name). Confirm you have both recorded. Format: compliance-officer::1220...</w:t>
            </w:r>
          </w:p>
        </w:tc>
      </w:tr>
      <w:tr w:rsidR="00D56334" w14:paraId="7BD8D649" w14:textId="77777777">
        <w:tblPrEx>
          <w:tblCellMar>
            <w:top w:w="0" w:type="dxa"/>
            <w:bottom w:w="0" w:type="dxa"/>
          </w:tblCellMar>
        </w:tblPrEx>
        <w:tc>
          <w:tcPr>
            <w:tcW w:w="6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3C1E49CE" w14:textId="77777777" w:rsidR="00D56334" w:rsidRDefault="00000000">
            <w:r>
              <w:rPr>
                <w:color w:val="333333"/>
                <w:sz w:val="18"/>
                <w:szCs w:val="18"/>
              </w:rPr>
              <w:t>06</w:t>
            </w:r>
          </w:p>
        </w:tc>
        <w:tc>
          <w:tcPr>
            <w:tcW w:w="3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710237AE" w14:textId="77777777" w:rsidR="00D56334" w:rsidRDefault="00000000">
            <w:r>
              <w:rPr>
                <w:color w:val="333333"/>
                <w:sz w:val="18"/>
                <w:szCs w:val="18"/>
              </w:rPr>
              <w:t>Extract Bruno environment variables</w:t>
            </w:r>
          </w:p>
        </w:tc>
        <w:tc>
          <w:tcPr>
            <w:tcW w:w="1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7D1EF1DD" w14:textId="77777777" w:rsidR="00D56334" w:rsidRDefault="00000000">
            <w:r>
              <w:rPr>
                <w:color w:val="333333"/>
                <w:sz w:val="18"/>
                <w:szCs w:val="18"/>
              </w:rPr>
              <w:t>Rob</w:t>
            </w:r>
          </w:p>
        </w:tc>
        <w:tc>
          <w:tcPr>
            <w:tcW w:w="1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27319B74" w14:textId="77777777" w:rsidR="00D56334" w:rsidRDefault="00000000">
            <w:pPr>
              <w:jc w:val="center"/>
            </w:pPr>
            <w:r>
              <w:rPr>
                <w:b/>
                <w:bCs/>
                <w:color w:val="2E7D32"/>
                <w:sz w:val="18"/>
                <w:szCs w:val="18"/>
              </w:rPr>
              <w:t>COMPLETE</w:t>
            </w:r>
          </w:p>
        </w:tc>
        <w:tc>
          <w:tcPr>
            <w:tcW w:w="3154"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352587D5" w14:textId="77777777" w:rsidR="00D56334" w:rsidRDefault="00000000">
            <w:r>
              <w:rPr>
                <w:color w:val="333333"/>
                <w:sz w:val="18"/>
                <w:szCs w:val="18"/>
              </w:rPr>
              <w:t xml:space="preserve">Record the defaultUrl, operator_partyId, consumer_partyId, complianceOfficer_partyId, orchestratorTemplateId, attestationRequestTemplateId, poliAttestationTemplateId, and interfaceAttestationTemplateId from the Bruno collection. These are the </w:t>
              <w:lastRenderedPageBreak/>
              <w:t>contract addresses your service will call.</w:t>
            </w:r>
          </w:p>
        </w:tc>
      </w:tr>
    </w:tbl>
    <w:p w14:paraId="48A19B8A" w14:textId="77777777" w:rsidR="00D56334" w:rsidRDefault="00D56334">
      <w:pPr>
        <w:spacing w:after="60"/>
      </w:pPr>
    </w:p>
    <w:p w14:paraId="7AD8E20F" w14:textId="77777777" w:rsidR="00D56334" w:rsidRDefault="00000000">
      <w:pPr>
        <w:pStyle w:val="Heading1"/>
        <w:spacing w:after="120"/>
      </w:pPr>
      <w:r>
        <w:t>Phase 1: Authentication and Orchestrator Registration</w:t>
      </w:r>
    </w:p>
    <w:p w14:paraId="6D654CFC" w14:textId="77777777" w:rsidR="00D56334" w:rsidRDefault="00000000">
      <w:pPr>
        <w:spacing w:after="120"/>
      </w:pPr>
      <w:r>
        <w:rPr>
          <w:color w:val="333333"/>
        </w:rPr>
        <w:t>Replicate the first three Bruno calls programmatically. This phase proves your service can talk to the Canton Ledger API and register your real keypair.</w:t>
      </w:r>
    </w:p>
    <w:p w14:paraId="62476332" w14:textId="77777777" w:rsidR="00D56334" w:rsidRDefault="00D56334">
      <w:pPr>
        <w:spacing w:after="60"/>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1200"/>
        <w:gridCol w:w="1200"/>
        <w:gridCol w:w="3154"/>
      </w:tblGrid>
      <w:tr w:rsidR="00D56334" w14:paraId="67782C01" w14:textId="77777777">
        <w:tblPrEx>
          <w:tblCellMar>
            <w:top w:w="0" w:type="dxa"/>
            <w:bottom w:w="0" w:type="dxa"/>
          </w:tblCellMar>
        </w:tblPrEx>
        <w:tc>
          <w:tcPr>
            <w:tcW w:w="600" w:type="dxa"/>
            <w:tcBorders>
              <w:top w:val="single" w:sz="1" w:space="0" w:color="D0D4DC"/>
              <w:left w:val="single" w:sz="1" w:space="0" w:color="D0D4DC"/>
              <w:bottom w:val="single" w:sz="1" w:space="0" w:color="D0D4DC"/>
              <w:right w:val="single" w:sz="1" w:space="0" w:color="D0D4DC"/>
            </w:tcBorders>
            <w:shd w:val="clear" w:color="auto" w:fill="0D1E3A"/>
            <w:tcMar>
              <w:top w:w="80" w:type="dxa"/>
              <w:left w:w="120" w:type="dxa"/>
              <w:bottom w:w="80" w:type="dxa"/>
              <w:right w:w="120" w:type="dxa"/>
            </w:tcMar>
          </w:tcPr>
          <w:p w14:paraId="67B5548C" w14:textId="77777777" w:rsidR="00D56334" w:rsidRDefault="00000000">
            <w:r>
              <w:rPr>
                <w:b/>
                <w:bCs/>
                <w:color w:val="FFFFFF"/>
                <w:sz w:val="18"/>
                <w:szCs w:val="18"/>
              </w:rPr>
              <w:t>#</w:t>
            </w:r>
          </w:p>
        </w:tc>
        <w:tc>
          <w:tcPr>
            <w:tcW w:w="3200" w:type="dxa"/>
            <w:tcBorders>
              <w:top w:val="single" w:sz="1" w:space="0" w:color="D0D4DC"/>
              <w:left w:val="single" w:sz="1" w:space="0" w:color="D0D4DC"/>
              <w:bottom w:val="single" w:sz="1" w:space="0" w:color="D0D4DC"/>
              <w:right w:val="single" w:sz="1" w:space="0" w:color="D0D4DC"/>
            </w:tcBorders>
            <w:shd w:val="clear" w:color="auto" w:fill="0D1E3A"/>
            <w:tcMar>
              <w:top w:w="80" w:type="dxa"/>
              <w:left w:w="120" w:type="dxa"/>
              <w:bottom w:w="80" w:type="dxa"/>
              <w:right w:w="120" w:type="dxa"/>
            </w:tcMar>
          </w:tcPr>
          <w:p w14:paraId="32796177" w14:textId="77777777" w:rsidR="00D56334" w:rsidRDefault="00000000">
            <w:r>
              <w:rPr>
                <w:b/>
                <w:bCs/>
                <w:color w:val="FFFFFF"/>
                <w:sz w:val="18"/>
                <w:szCs w:val="18"/>
              </w:rPr>
              <w:t>Action Item</w:t>
            </w:r>
          </w:p>
        </w:tc>
        <w:tc>
          <w:tcPr>
            <w:tcW w:w="1200" w:type="dxa"/>
            <w:tcBorders>
              <w:top w:val="single" w:sz="1" w:space="0" w:color="D0D4DC"/>
              <w:left w:val="single" w:sz="1" w:space="0" w:color="D0D4DC"/>
              <w:bottom w:val="single" w:sz="1" w:space="0" w:color="D0D4DC"/>
              <w:right w:val="single" w:sz="1" w:space="0" w:color="D0D4DC"/>
            </w:tcBorders>
            <w:shd w:val="clear" w:color="auto" w:fill="0D1E3A"/>
            <w:tcMar>
              <w:top w:w="80" w:type="dxa"/>
              <w:left w:w="120" w:type="dxa"/>
              <w:bottom w:w="80" w:type="dxa"/>
              <w:right w:w="120" w:type="dxa"/>
            </w:tcMar>
          </w:tcPr>
          <w:p w14:paraId="759CED91" w14:textId="77777777" w:rsidR="00D56334" w:rsidRDefault="00000000">
            <w:r>
              <w:rPr>
                <w:b/>
                <w:bCs/>
                <w:color w:val="FFFFFF"/>
                <w:sz w:val="18"/>
                <w:szCs w:val="18"/>
              </w:rPr>
              <w:t>Owner</w:t>
            </w:r>
          </w:p>
        </w:tc>
        <w:tc>
          <w:tcPr>
            <w:tcW w:w="1200" w:type="dxa"/>
            <w:tcBorders>
              <w:top w:val="single" w:sz="1" w:space="0" w:color="D0D4DC"/>
              <w:left w:val="single" w:sz="1" w:space="0" w:color="D0D4DC"/>
              <w:bottom w:val="single" w:sz="1" w:space="0" w:color="D0D4DC"/>
              <w:right w:val="single" w:sz="1" w:space="0" w:color="D0D4DC"/>
            </w:tcBorders>
            <w:shd w:val="clear" w:color="auto" w:fill="0D1E3A"/>
            <w:tcMar>
              <w:top w:w="80" w:type="dxa"/>
              <w:left w:w="120" w:type="dxa"/>
              <w:bottom w:w="80" w:type="dxa"/>
              <w:right w:w="120" w:type="dxa"/>
            </w:tcMar>
          </w:tcPr>
          <w:p w14:paraId="2052BDA0" w14:textId="77777777" w:rsidR="00D56334" w:rsidRDefault="00000000">
            <w:r>
              <w:rPr>
                <w:b/>
                <w:bCs/>
                <w:color w:val="FFFFFF"/>
                <w:sz w:val="18"/>
                <w:szCs w:val="18"/>
              </w:rPr>
              <w:t>Status</w:t>
            </w:r>
          </w:p>
        </w:tc>
        <w:tc>
          <w:tcPr>
            <w:tcW w:w="3154" w:type="dxa"/>
            <w:tcBorders>
              <w:top w:val="single" w:sz="1" w:space="0" w:color="D0D4DC"/>
              <w:left w:val="single" w:sz="1" w:space="0" w:color="D0D4DC"/>
              <w:bottom w:val="single" w:sz="1" w:space="0" w:color="D0D4DC"/>
              <w:right w:val="single" w:sz="1" w:space="0" w:color="D0D4DC"/>
            </w:tcBorders>
            <w:shd w:val="clear" w:color="auto" w:fill="0D1E3A"/>
            <w:tcMar>
              <w:top w:w="80" w:type="dxa"/>
              <w:left w:w="120" w:type="dxa"/>
              <w:bottom w:w="80" w:type="dxa"/>
              <w:right w:w="120" w:type="dxa"/>
            </w:tcMar>
          </w:tcPr>
          <w:p w14:paraId="214176D2" w14:textId="77777777" w:rsidR="00D56334" w:rsidRDefault="00000000">
            <w:r>
              <w:rPr>
                <w:b/>
                <w:bCs/>
                <w:color w:val="FFFFFF"/>
                <w:sz w:val="18"/>
                <w:szCs w:val="18"/>
              </w:rPr>
              <w:t>Notes</w:t>
            </w:r>
          </w:p>
        </w:tc>
      </w:tr>
      <w:tr w:rsidR="00D56334" w14:paraId="495A42F9" w14:textId="77777777">
        <w:tblPrEx>
          <w:tblCellMar>
            <w:top w:w="0" w:type="dxa"/>
            <w:bottom w:w="0" w:type="dxa"/>
          </w:tblCellMar>
        </w:tblPrEx>
        <w:tc>
          <w:tcPr>
            <w:tcW w:w="600" w:type="dxa"/>
            <w:tcBorders>
              <w:top w:val="single" w:sz="1" w:space="0" w:color="D0D4DC"/>
              <w:left w:val="single" w:sz="1" w:space="0" w:color="D0D4DC"/>
              <w:bottom w:val="single" w:sz="1" w:space="0" w:color="D0D4DC"/>
              <w:right w:val="single" w:sz="1" w:space="0" w:color="D0D4DC"/>
            </w:tcBorders>
            <w:shd w:val="clear" w:color="auto" w:fill="FFF3E0"/>
            <w:tcMar>
              <w:top w:w="80" w:type="dxa"/>
              <w:left w:w="120" w:type="dxa"/>
              <w:bottom w:w="80" w:type="dxa"/>
              <w:right w:w="120" w:type="dxa"/>
            </w:tcMar>
          </w:tcPr>
          <w:p w14:paraId="083D1AC7" w14:textId="77777777" w:rsidR="00D56334" w:rsidRDefault="00000000">
            <w:r>
              <w:rPr>
                <w:color w:val="333333"/>
                <w:sz w:val="18"/>
                <w:szCs w:val="18"/>
              </w:rPr>
              <w:t>01</w:t>
            </w:r>
          </w:p>
        </w:tc>
        <w:tc>
          <w:tcPr>
            <w:tcW w:w="3200" w:type="dxa"/>
            <w:tcBorders>
              <w:top w:val="single" w:sz="1" w:space="0" w:color="D0D4DC"/>
              <w:left w:val="single" w:sz="1" w:space="0" w:color="D0D4DC"/>
              <w:bottom w:val="single" w:sz="1" w:space="0" w:color="D0D4DC"/>
              <w:right w:val="single" w:sz="1" w:space="0" w:color="D0D4DC"/>
            </w:tcBorders>
            <w:shd w:val="clear" w:color="auto" w:fill="FFF3E0"/>
            <w:tcMar>
              <w:top w:w="80" w:type="dxa"/>
              <w:left w:w="120" w:type="dxa"/>
              <w:bottom w:w="80" w:type="dxa"/>
              <w:right w:w="120" w:type="dxa"/>
            </w:tcMar>
          </w:tcPr>
          <w:p w14:paraId="2B38F3CD" w14:textId="77777777" w:rsidR="00D56334" w:rsidRDefault="00000000">
            <w:r>
              <w:rPr>
                <w:color w:val="333333"/>
                <w:sz w:val="18"/>
                <w:szCs w:val="18"/>
              </w:rPr>
              <w:t xml:space="preserve">Build Keycloak token management module</w:t>
            </w:r>
          </w:p>
        </w:tc>
        <w:tc>
          <w:tcPr>
            <w:tcW w:w="1200" w:type="dxa"/>
            <w:tcBorders>
              <w:top w:val="single" w:sz="1" w:space="0" w:color="D0D4DC"/>
              <w:left w:val="single" w:sz="1" w:space="0" w:color="D0D4DC"/>
              <w:bottom w:val="single" w:sz="1" w:space="0" w:color="D0D4DC"/>
              <w:right w:val="single" w:sz="1" w:space="0" w:color="D0D4DC"/>
            </w:tcBorders>
            <w:shd w:val="clear" w:color="auto" w:fill="FFF3E0"/>
            <w:tcMar>
              <w:top w:w="80" w:type="dxa"/>
              <w:left w:w="120" w:type="dxa"/>
              <w:bottom w:w="80" w:type="dxa"/>
              <w:right w:w="120" w:type="dxa"/>
            </w:tcMar>
          </w:tcPr>
          <w:p w14:paraId="42EDB918" w14:textId="77777777" w:rsidR="00D56334" w:rsidRDefault="00000000">
            <w:r>
              <w:rPr>
                <w:color w:val="333333"/>
                <w:sz w:val="18"/>
                <w:szCs w:val="18"/>
              </w:rPr>
              <w:t>Rob</w:t>
            </w:r>
          </w:p>
        </w:tc>
        <w:tc>
          <w:tcPr>
            <w:tcW w:w="1200" w:type="dxa"/>
            <w:tcBorders>
              <w:top w:val="single" w:sz="1" w:space="0" w:color="D0D4DC"/>
              <w:left w:val="single" w:sz="1" w:space="0" w:color="D0D4DC"/>
              <w:bottom w:val="single" w:sz="1" w:space="0" w:color="D0D4DC"/>
              <w:right w:val="single" w:sz="1" w:space="0" w:color="D0D4DC"/>
            </w:tcBorders>
            <w:shd w:val="clear" w:color="auto" w:fill="FFF3E0"/>
            <w:tcMar>
              <w:top w:w="80" w:type="dxa"/>
              <w:left w:w="120" w:type="dxa"/>
              <w:bottom w:w="80" w:type="dxa"/>
              <w:right w:w="120" w:type="dxa"/>
            </w:tcMar>
          </w:tcPr>
          <w:p w14:paraId="34E29B58" w14:textId="77777777" w:rsidR="00D56334" w:rsidRDefault="00000000">
            <w:pPr>
              <w:jc w:val="center"/>
            </w:pPr>
            <w:r>
              <w:rPr>
                <w:b/>
                <w:bCs/>
                <w:color w:val="E65100"/>
                <w:sz w:val="18"/>
                <w:szCs w:val="18"/>
              </w:rPr>
              <w:t>SANDBOX ONLY</w:t>
            </w:r>
          </w:p>
        </w:tc>
        <w:tc>
          <w:tcPr>
            <w:tcW w:w="3154" w:type="dxa"/>
            <w:tcBorders>
              <w:top w:val="single" w:sz="1" w:space="0" w:color="D0D4DC"/>
              <w:left w:val="single" w:sz="1" w:space="0" w:color="D0D4DC"/>
              <w:bottom w:val="single" w:sz="1" w:space="0" w:color="D0D4DC"/>
              <w:right w:val="single" w:sz="1" w:space="0" w:color="D0D4DC"/>
            </w:tcBorders>
            <w:shd w:val="clear" w:color="auto" w:fill="FFF3E0"/>
            <w:tcMar>
              <w:top w:w="80" w:type="dxa"/>
              <w:left w:w="120" w:type="dxa"/>
              <w:bottom w:w="80" w:type="dxa"/>
              <w:right w:w="120" w:type="dxa"/>
            </w:tcMar>
          </w:tcPr>
          <w:p w14:paraId="746E5FB3" w14:textId="77777777" w:rsidR="00D56334" w:rsidRDefault="00000000">
            <w:r>
              <w:rPr>
                <w:color w:val="333333"/>
                <w:sz w:val="18"/>
                <w:szCs w:val="18"/>
              </w:rPr>
              <w:t xml:space="preserve">Replicate Auth-Operator call. Handle 300s access token expiry and 1800s refresh token lifecycle automatically. Endpoint: keycloak.catalyst.stratalink.ai, realm: catalyst-canton-nonprod, client_id: stratalink-devnet.</w:t>
            </w:r>
            <w:r>
              <w:rPr>
                <w:b/>
                <w:bCs/>
                <w:color w:val="E65100"/>
              </w:rPr>
              <w:t xml:space="preserve"> Sandbox-proven only: the equivalent flow was validated against the local sandbox at localhost:7575 using a local shared-secret token. Return to test the live Keycloak token lifecycle against the catalyst-canton-nonprod realm on DevNet before marking full complete.</w:t>
            </w:r>
          </w:p>
        </w:tc>
      </w:tr>
      <w:tr w:rsidR="00D56334" w14:paraId="7C877C4F" w14:textId="77777777">
        <w:tblPrEx>
          <w:tblCellMar>
            <w:top w:w="0" w:type="dxa"/>
            <w:bottom w:w="0" w:type="dxa"/>
          </w:tblCellMar>
        </w:tblPrEx>
        <w:tc>
          <w:tcPr>
            <w:tcW w:w="600" w:type="dxa"/>
            <w:tcBorders>
              <w:top w:val="single" w:sz="1" w:space="0" w:color="D0D4DC"/>
              <w:left w:val="single" w:sz="1" w:space="0" w:color="D0D4DC"/>
              <w:bottom w:val="single" w:sz="1" w:space="0" w:color="D0D4DC"/>
              <w:right w:val="single" w:sz="1" w:space="0" w:color="D0D4DC"/>
            </w:tcBorders>
            <w:shd w:val="clear" w:color="auto" w:fill="FFF3E0"/>
            <w:tcMar>
              <w:top w:w="80" w:type="dxa"/>
              <w:left w:w="120" w:type="dxa"/>
              <w:bottom w:w="80" w:type="dxa"/>
              <w:right w:w="120" w:type="dxa"/>
            </w:tcMar>
          </w:tcPr>
          <w:p w14:paraId="26C82858" w14:textId="77777777" w:rsidR="00D56334" w:rsidRDefault="00000000">
            <w:r>
              <w:rPr>
                <w:color w:val="333333"/>
                <w:sz w:val="18"/>
                <w:szCs w:val="18"/>
              </w:rPr>
              <w:t>02</w:t>
            </w:r>
          </w:p>
        </w:tc>
        <w:tc>
          <w:tcPr>
            <w:tcW w:w="3200" w:type="dxa"/>
            <w:tcBorders>
              <w:top w:val="single" w:sz="1" w:space="0" w:color="D0D4DC"/>
              <w:left w:val="single" w:sz="1" w:space="0" w:color="D0D4DC"/>
              <w:bottom w:val="single" w:sz="1" w:space="0" w:color="D0D4DC"/>
              <w:right w:val="single" w:sz="1" w:space="0" w:color="D0D4DC"/>
            </w:tcBorders>
            <w:shd w:val="clear" w:color="auto" w:fill="FFF3E0"/>
            <w:tcMar>
              <w:top w:w="80" w:type="dxa"/>
              <w:left w:w="120" w:type="dxa"/>
              <w:bottom w:w="80" w:type="dxa"/>
              <w:right w:w="120" w:type="dxa"/>
            </w:tcMar>
          </w:tcPr>
          <w:p w14:paraId="67C0824C" w14:textId="77777777" w:rsidR="00D56334" w:rsidRDefault="00000000">
            <w:r>
              <w:rPr>
                <w:color w:val="333333"/>
                <w:sz w:val="18"/>
                <w:szCs w:val="18"/>
              </w:rPr>
              <w:t>Register DevNet Orchestrator with real public key</w:t>
            </w:r>
          </w:p>
        </w:tc>
        <w:tc>
          <w:tcPr>
            <w:tcW w:w="1200" w:type="dxa"/>
            <w:tcBorders>
              <w:top w:val="single" w:sz="1" w:space="0" w:color="D0D4DC"/>
              <w:left w:val="single" w:sz="1" w:space="0" w:color="D0D4DC"/>
              <w:bottom w:val="single" w:sz="1" w:space="0" w:color="D0D4DC"/>
              <w:right w:val="single" w:sz="1" w:space="0" w:color="D0D4DC"/>
            </w:tcBorders>
            <w:shd w:val="clear" w:color="auto" w:fill="FFF3E0"/>
            <w:tcMar>
              <w:top w:w="80" w:type="dxa"/>
              <w:left w:w="120" w:type="dxa"/>
              <w:bottom w:w="80" w:type="dxa"/>
              <w:right w:w="120" w:type="dxa"/>
            </w:tcMar>
          </w:tcPr>
          <w:p w14:paraId="5F537EA4" w14:textId="77777777" w:rsidR="00D56334" w:rsidRDefault="00000000">
            <w:r>
              <w:rPr>
                <w:color w:val="333333"/>
                <w:sz w:val="18"/>
                <w:szCs w:val="18"/>
              </w:rPr>
              <w:t>Rob</w:t>
            </w:r>
          </w:p>
        </w:tc>
        <w:tc>
          <w:tcPr>
            <w:tcW w:w="1200" w:type="dxa"/>
            <w:tcBorders>
              <w:top w:val="single" w:sz="1" w:space="0" w:color="D0D4DC"/>
              <w:left w:val="single" w:sz="1" w:space="0" w:color="D0D4DC"/>
              <w:bottom w:val="single" w:sz="1" w:space="0" w:color="D0D4DC"/>
              <w:right w:val="single" w:sz="1" w:space="0" w:color="D0D4DC"/>
            </w:tcBorders>
            <w:shd w:val="clear" w:color="auto" w:fill="FFF3E0"/>
            <w:tcMar>
              <w:top w:w="80" w:type="dxa"/>
              <w:left w:w="120" w:type="dxa"/>
              <w:bottom w:w="80" w:type="dxa"/>
              <w:right w:w="120" w:type="dxa"/>
            </w:tcMar>
          </w:tcPr>
          <w:p w14:paraId="212E3C09" w14:textId="77777777" w:rsidR="00D56334" w:rsidRDefault="00000000">
            <w:pPr>
              <w:jc w:val="center"/>
            </w:pPr>
            <w:r>
              <w:rPr>
                <w:b/>
                <w:bCs/>
                <w:color w:val="E65100"/>
                <w:sz w:val="18"/>
                <w:szCs w:val="18"/>
              </w:rPr>
              <w:t>SANDBOX ONLY</w:t>
            </w:r>
          </w:p>
        </w:tc>
        <w:tc>
          <w:tcPr>
            <w:tcW w:w="3154" w:type="dxa"/>
            <w:tcBorders>
              <w:top w:val="single" w:sz="1" w:space="0" w:color="D0D4DC"/>
              <w:left w:val="single" w:sz="1" w:space="0" w:color="D0D4DC"/>
              <w:bottom w:val="single" w:sz="1" w:space="0" w:color="D0D4DC"/>
              <w:right w:val="single" w:sz="1" w:space="0" w:color="D0D4DC"/>
            </w:tcBorders>
            <w:shd w:val="clear" w:color="auto" w:fill="FFF3E0"/>
            <w:tcMar>
              <w:top w:w="80" w:type="dxa"/>
              <w:left w:w="120" w:type="dxa"/>
              <w:bottom w:w="80" w:type="dxa"/>
              <w:right w:w="120" w:type="dxa"/>
            </w:tcMar>
          </w:tcPr>
          <w:p w14:paraId="05C1F2AD" w14:textId="77777777" w:rsidR="00D56334" w:rsidRDefault="00000000">
            <w:r>
              <w:rPr>
                <w:color w:val="333333"/>
                <w:sz w:val="18"/>
                <w:szCs w:val="18"/>
              </w:rPr>
              <w:t xml:space="preserve">Submit CreateOrchestrator command with your real SECP256K1 public key (from Phase 0). This replaces the test key. One-time setup per environment.</w:t>
            </w:r>
            <w:r>
              <w:rPr>
                <w:b/>
                <w:bCs/>
                <w:color w:val="E65100"/>
              </w:rPr>
              <w:t xml:space="preserve"> Sandbox-proven only: CreateOrchestrator was validated on the local sandbox and returned a successful transaction. Return to register the Orchestrator on DevNet with the real public key before marking full complete.</w:t>
            </w:r>
          </w:p>
        </w:tc>
      </w:tr>
      <w:tr w:rsidR="00D56334" w14:paraId="069D2EEF" w14:textId="77777777">
        <w:tblPrEx>
          <w:tblCellMar>
            <w:top w:w="0" w:type="dxa"/>
            <w:bottom w:w="0" w:type="dxa"/>
          </w:tblCellMar>
        </w:tblPrEx>
        <w:tc>
          <w:tcPr>
            <w:tcW w:w="6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74B8DC01" w14:textId="77777777" w:rsidR="00D56334" w:rsidRDefault="00000000">
            <w:r>
              <w:rPr>
                <w:color w:val="333333"/>
                <w:sz w:val="18"/>
                <w:szCs w:val="18"/>
              </w:rPr>
              <w:t>03</w:t>
            </w:r>
          </w:p>
        </w:tc>
        <w:tc>
          <w:tcPr>
            <w:tcW w:w="3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72DD158F" w14:textId="77777777" w:rsidR="00D56334" w:rsidRDefault="00000000">
            <w:r>
              <w:rPr>
                <w:color w:val="333333"/>
                <w:sz w:val="18"/>
                <w:szCs w:val="18"/>
              </w:rPr>
              <w:t xml:space="preserve">Verify Orchestrator registration via FetchOrchestrator</w:t>
            </w:r>
          </w:p>
        </w:tc>
        <w:tc>
          <w:tcPr>
            <w:tcW w:w="1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26911140" w14:textId="77777777" w:rsidR="00D56334" w:rsidRDefault="00000000">
            <w:r>
              <w:rPr>
                <w:color w:val="333333"/>
                <w:sz w:val="18"/>
                <w:szCs w:val="18"/>
              </w:rPr>
              <w:t>Rob</w:t>
            </w:r>
          </w:p>
        </w:tc>
        <w:tc>
          <w:tcPr>
            <w:tcW w:w="1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264F994C" w14:textId="77777777" w:rsidR="00D56334" w:rsidRDefault="00000000">
            <w:pPr>
              <w:jc w:val="center"/>
            </w:pPr>
            <w:r>
              <w:rPr>
                <w:b/>
                <w:bCs/>
                <w:color w:val="2E7D32"/>
                <w:sz w:val="18"/>
                <w:szCs w:val="18"/>
              </w:rPr>
              <w:t>COMPLETE</w:t>
            </w:r>
          </w:p>
        </w:tc>
        <w:tc>
          <w:tcPr>
            <w:tcW w:w="3154"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56B8B24E" w14:textId="77777777" w:rsidR="00D56334" w:rsidRDefault="00000000">
            <w:r>
              <w:rPr>
                <w:color w:val="333333"/>
                <w:sz w:val="18"/>
                <w:szCs w:val="18"/>
              </w:rPr>
              <w:t>Confirm the active contract on-ledger contains your public key and the correct operator and compliance officer party IDs.</w:t>
            </w:r>
          </w:p>
        </w:tc>
      </w:tr>
      <w:tr w:rsidR="00D56334" w14:paraId="5B4905B3" w14:textId="77777777">
        <w:tblPrEx>
          <w:tblCellMar>
            <w:top w:w="0" w:type="dxa"/>
            <w:bottom w:w="0" w:type="dxa"/>
          </w:tblCellMar>
        </w:tblPrEx>
        <w:tc>
          <w:tcPr>
            <w:tcW w:w="6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571E3D12" w14:textId="77777777" w:rsidR="00D56334" w:rsidRDefault="00000000">
            <w:r>
              <w:rPr>
                <w:color w:val="333333"/>
                <w:sz w:val="18"/>
                <w:szCs w:val="18"/>
              </w:rPr>
              <w:t>04</w:t>
            </w:r>
          </w:p>
        </w:tc>
        <w:tc>
          <w:tcPr>
            <w:tcW w:w="3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3E19C8DC" w14:textId="77777777" w:rsidR="00D56334" w:rsidRDefault="00000000">
            <w:r>
              <w:rPr>
                <w:color w:val="333333"/>
                <w:sz w:val="18"/>
                <w:szCs w:val="18"/>
              </w:rPr>
              <w:t>Choose language and project structure</w:t>
            </w:r>
          </w:p>
        </w:tc>
        <w:tc>
          <w:tcPr>
            <w:tcW w:w="1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7E3B7A48" w14:textId="77777777" w:rsidR="00D56334" w:rsidRDefault="00000000">
            <w:r>
              <w:rPr>
                <w:color w:val="333333"/>
                <w:sz w:val="18"/>
                <w:szCs w:val="18"/>
              </w:rPr>
              <w:t>Rob</w:t>
            </w:r>
          </w:p>
        </w:tc>
        <w:tc>
          <w:tcPr>
            <w:tcW w:w="1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4ACF1E9B" w14:textId="77777777" w:rsidR="00D56334" w:rsidRDefault="00000000">
            <w:pPr>
              <w:jc w:val="center"/>
            </w:pPr>
            <w:r>
              <w:rPr>
                <w:b/>
                <w:bCs/>
                <w:color w:val="2E7D32"/>
                <w:sz w:val="18"/>
                <w:szCs w:val="18"/>
              </w:rPr>
              <w:t>COMPLETE</w:t>
            </w:r>
          </w:p>
        </w:tc>
        <w:tc>
          <w:tcPr>
            <w:tcW w:w="3154"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06D6034B" w14:textId="77777777" w:rsidR="00D56334" w:rsidRDefault="00000000">
            <w:r>
              <w:rPr>
                <w:color w:val="333333"/>
                <w:sz w:val="18"/>
                <w:szCs w:val="18"/>
              </w:rPr>
              <w:t>Python (cryptography library) or Node.js (ethers.js or noble-secp256k1). Python recommended for SECP256K1 signing ergonomics. Decide before Phase 2.</w:t>
            </w:r>
          </w:p>
        </w:tc>
      </w:tr>
    </w:tbl>
    <w:p w14:paraId="1B6C7960" w14:textId="77777777" w:rsidR="00D56334" w:rsidRDefault="00D56334">
      <w:pPr>
        <w:spacing w:after="60"/>
      </w:pPr>
    </w:p>
    <w:p w14:paraId="2B790715" w14:textId="77777777" w:rsidR="00D56334" w:rsidRDefault="00000000">
      <w:pPr>
        <w:pStyle w:val="Heading1"/>
        <w:spacing w:after="120"/>
      </w:pPr>
      <w:r>
        <w:t>Phase 2: Signing and Attestation Processing</w:t>
      </w:r>
    </w:p>
    <w:p w14:paraId="5D1174BD" w14:textId="77777777" w:rsidR="00D56334" w:rsidRDefault="00000000">
      <w:pPr>
        <w:spacing w:after="120"/>
      </w:pPr>
      <w:r>
        <w:rPr>
          <w:color w:val="333333"/>
        </w:rPr>
        <w:t>This is the core build. Your service must construct the canonical payload, sign it with SECP256K1, and submit scored attestations to the ledger.</w:t>
      </w:r>
    </w:p>
    <w:p w14:paraId="01B854C6" w14:textId="77777777" w:rsidR="00D56334" w:rsidRDefault="00D56334">
      <w:pPr>
        <w:spacing w:after="60"/>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1200"/>
        <w:gridCol w:w="1200"/>
        <w:gridCol w:w="3154"/>
      </w:tblGrid>
      <w:tr w:rsidR="00D56334" w14:paraId="46E0BBBF" w14:textId="77777777">
        <w:tblPrEx>
          <w:tblCellMar>
            <w:top w:w="0" w:type="dxa"/>
            <w:bottom w:w="0" w:type="dxa"/>
          </w:tblCellMar>
        </w:tblPrEx>
        <w:tc>
          <w:tcPr>
            <w:tcW w:w="600" w:type="dxa"/>
            <w:tcBorders>
              <w:top w:val="single" w:sz="1" w:space="0" w:color="D0D4DC"/>
              <w:left w:val="single" w:sz="1" w:space="0" w:color="D0D4DC"/>
              <w:bottom w:val="single" w:sz="1" w:space="0" w:color="D0D4DC"/>
              <w:right w:val="single" w:sz="1" w:space="0" w:color="D0D4DC"/>
            </w:tcBorders>
            <w:shd w:val="clear" w:color="auto" w:fill="0D1E3A"/>
            <w:tcMar>
              <w:top w:w="80" w:type="dxa"/>
              <w:left w:w="120" w:type="dxa"/>
              <w:bottom w:w="80" w:type="dxa"/>
              <w:right w:w="120" w:type="dxa"/>
            </w:tcMar>
          </w:tcPr>
          <w:p w14:paraId="1798E8CE" w14:textId="77777777" w:rsidR="00D56334" w:rsidRDefault="00000000">
            <w:r>
              <w:rPr>
                <w:b/>
                <w:bCs/>
                <w:color w:val="FFFFFF"/>
                <w:sz w:val="18"/>
                <w:szCs w:val="18"/>
              </w:rPr>
              <w:t>#</w:t>
            </w:r>
          </w:p>
        </w:tc>
        <w:tc>
          <w:tcPr>
            <w:tcW w:w="3200" w:type="dxa"/>
            <w:tcBorders>
              <w:top w:val="single" w:sz="1" w:space="0" w:color="D0D4DC"/>
              <w:left w:val="single" w:sz="1" w:space="0" w:color="D0D4DC"/>
              <w:bottom w:val="single" w:sz="1" w:space="0" w:color="D0D4DC"/>
              <w:right w:val="single" w:sz="1" w:space="0" w:color="D0D4DC"/>
            </w:tcBorders>
            <w:shd w:val="clear" w:color="auto" w:fill="0D1E3A"/>
            <w:tcMar>
              <w:top w:w="80" w:type="dxa"/>
              <w:left w:w="120" w:type="dxa"/>
              <w:bottom w:w="80" w:type="dxa"/>
              <w:right w:w="120" w:type="dxa"/>
            </w:tcMar>
          </w:tcPr>
          <w:p w14:paraId="6027D524" w14:textId="77777777" w:rsidR="00D56334" w:rsidRDefault="00000000">
            <w:r>
              <w:rPr>
                <w:b/>
                <w:bCs/>
                <w:color w:val="FFFFFF"/>
                <w:sz w:val="18"/>
                <w:szCs w:val="18"/>
              </w:rPr>
              <w:t>Action Item</w:t>
            </w:r>
          </w:p>
        </w:tc>
        <w:tc>
          <w:tcPr>
            <w:tcW w:w="1200" w:type="dxa"/>
            <w:tcBorders>
              <w:top w:val="single" w:sz="1" w:space="0" w:color="D0D4DC"/>
              <w:left w:val="single" w:sz="1" w:space="0" w:color="D0D4DC"/>
              <w:bottom w:val="single" w:sz="1" w:space="0" w:color="D0D4DC"/>
              <w:right w:val="single" w:sz="1" w:space="0" w:color="D0D4DC"/>
            </w:tcBorders>
            <w:shd w:val="clear" w:color="auto" w:fill="0D1E3A"/>
            <w:tcMar>
              <w:top w:w="80" w:type="dxa"/>
              <w:left w:w="120" w:type="dxa"/>
              <w:bottom w:w="80" w:type="dxa"/>
              <w:right w:w="120" w:type="dxa"/>
            </w:tcMar>
          </w:tcPr>
          <w:p w14:paraId="7328C0A8" w14:textId="77777777" w:rsidR="00D56334" w:rsidRDefault="00000000">
            <w:r>
              <w:rPr>
                <w:b/>
                <w:bCs/>
                <w:color w:val="FFFFFF"/>
                <w:sz w:val="18"/>
                <w:szCs w:val="18"/>
              </w:rPr>
              <w:t>Owner</w:t>
            </w:r>
          </w:p>
        </w:tc>
        <w:tc>
          <w:tcPr>
            <w:tcW w:w="1200" w:type="dxa"/>
            <w:tcBorders>
              <w:top w:val="single" w:sz="1" w:space="0" w:color="D0D4DC"/>
              <w:left w:val="single" w:sz="1" w:space="0" w:color="D0D4DC"/>
              <w:bottom w:val="single" w:sz="1" w:space="0" w:color="D0D4DC"/>
              <w:right w:val="single" w:sz="1" w:space="0" w:color="D0D4DC"/>
            </w:tcBorders>
            <w:shd w:val="clear" w:color="auto" w:fill="0D1E3A"/>
            <w:tcMar>
              <w:top w:w="80" w:type="dxa"/>
              <w:left w:w="120" w:type="dxa"/>
              <w:bottom w:w="80" w:type="dxa"/>
              <w:right w:w="120" w:type="dxa"/>
            </w:tcMar>
          </w:tcPr>
          <w:p w14:paraId="7D73F386" w14:textId="77777777" w:rsidR="00D56334" w:rsidRDefault="00000000">
            <w:r>
              <w:rPr>
                <w:b/>
                <w:bCs/>
                <w:color w:val="FFFFFF"/>
                <w:sz w:val="18"/>
                <w:szCs w:val="18"/>
              </w:rPr>
              <w:t>Status</w:t>
            </w:r>
          </w:p>
        </w:tc>
        <w:tc>
          <w:tcPr>
            <w:tcW w:w="3154" w:type="dxa"/>
            <w:tcBorders>
              <w:top w:val="single" w:sz="1" w:space="0" w:color="D0D4DC"/>
              <w:left w:val="single" w:sz="1" w:space="0" w:color="D0D4DC"/>
              <w:bottom w:val="single" w:sz="1" w:space="0" w:color="D0D4DC"/>
              <w:right w:val="single" w:sz="1" w:space="0" w:color="D0D4DC"/>
            </w:tcBorders>
            <w:shd w:val="clear" w:color="auto" w:fill="0D1E3A"/>
            <w:tcMar>
              <w:top w:w="80" w:type="dxa"/>
              <w:left w:w="120" w:type="dxa"/>
              <w:bottom w:w="80" w:type="dxa"/>
              <w:right w:w="120" w:type="dxa"/>
            </w:tcMar>
          </w:tcPr>
          <w:p w14:paraId="64525DAE" w14:textId="77777777" w:rsidR="00D56334" w:rsidRDefault="00000000">
            <w:r>
              <w:rPr>
                <w:b/>
                <w:bCs/>
                <w:color w:val="FFFFFF"/>
                <w:sz w:val="18"/>
                <w:szCs w:val="18"/>
              </w:rPr>
              <w:t>Notes</w:t>
            </w:r>
          </w:p>
        </w:tc>
      </w:tr>
      <w:tr w:rsidR="00D56334" w14:paraId="26996B41" w14:textId="77777777">
        <w:tblPrEx>
          <w:tblCellMar>
            <w:top w:w="0" w:type="dxa"/>
            <w:bottom w:w="0" w:type="dxa"/>
          </w:tblCellMar>
        </w:tblPrEx>
        <w:tc>
          <w:tcPr>
            <w:tcW w:w="6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368F5891" w14:textId="77777777" w:rsidR="00D56334" w:rsidRDefault="00000000">
            <w:r>
              <w:rPr>
                <w:color w:val="333333"/>
                <w:sz w:val="18"/>
                <w:szCs w:val="18"/>
              </w:rPr>
              <w:t>01</w:t>
            </w:r>
          </w:p>
        </w:tc>
        <w:tc>
          <w:tcPr>
            <w:tcW w:w="3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344585C6" w14:textId="77777777" w:rsidR="00D56334" w:rsidRDefault="00000000">
            <w:r>
              <w:rPr>
                <w:color w:val="333333"/>
                <w:sz w:val="18"/>
                <w:szCs w:val="18"/>
              </w:rPr>
              <w:t>Implement canonical payload construction</w:t>
            </w:r>
          </w:p>
        </w:tc>
        <w:tc>
          <w:tcPr>
            <w:tcW w:w="1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6A29C143" w14:textId="77777777" w:rsidR="00D56334" w:rsidRDefault="00000000">
            <w:r>
              <w:rPr>
                <w:color w:val="333333"/>
                <w:sz w:val="18"/>
                <w:szCs w:val="18"/>
              </w:rPr>
              <w:t>Rob</w:t>
            </w:r>
          </w:p>
        </w:tc>
        <w:tc>
          <w:tcPr>
            <w:tcW w:w="1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5EE81A5A" w14:textId="77777777" w:rsidR="00D56334" w:rsidRDefault="00000000">
            <w:pPr>
              <w:jc w:val="center"/>
            </w:pPr>
            <w:r>
              <w:rPr>
                <w:b/>
                <w:bCs/>
                <w:color w:val="2E7D32"/>
                <w:sz w:val="18"/>
                <w:szCs w:val="18"/>
              </w:rPr>
              <w:t>COMPLETE</w:t>
            </w:r>
          </w:p>
        </w:tc>
        <w:tc>
          <w:tcPr>
            <w:tcW w:w="3154"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0947E7EF" w14:textId="77777777" w:rsidR="00D56334" w:rsidRDefault="00000000">
            <w:r>
              <w:rPr>
                <w:color w:val="333333"/>
                <w:sz w:val="18"/>
                <w:szCs w:val="18"/>
              </w:rPr>
              <w:t xml:space="preserve">Pipe-delimited concatenated string. DecimalType format: value 0.95 becomes value:95, range:2, string "952". Rating included in signed payload. Refer to PoLi Attestation Data Structure Spec v1.4.</w:t>
            </w:r>
            <w:r>
              <w:rPr>
                <w:b/>
                <w:bCs/>
                <w:color w:val="2E7D32"/>
              </w:rPr>
              <w:t xml:space="preserve"> Confirmed 11 July 2026. The canonical payload is 16 pipe-delimited fields in the exact order defined by the VerifyValidity choice. The rating is derived client-side via poLiScoreToRating rather than taken as free input, since the contract recomputes it.</w:t>
            </w:r>
          </w:p>
        </w:tc>
      </w:tr>
      <w:tr w:rsidR="00D56334" w14:paraId="53DDEE6C" w14:textId="77777777">
        <w:tblPrEx>
          <w:tblCellMar>
            <w:top w:w="0" w:type="dxa"/>
            <w:bottom w:w="0" w:type="dxa"/>
          </w:tblCellMar>
        </w:tblPrEx>
        <w:tc>
          <w:tcPr>
            <w:tcW w:w="6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66B475A0" w14:textId="77777777" w:rsidR="00D56334" w:rsidRDefault="00000000">
            <w:r>
              <w:rPr>
                <w:color w:val="333333"/>
                <w:sz w:val="18"/>
                <w:szCs w:val="18"/>
              </w:rPr>
              <w:t>02</w:t>
            </w:r>
          </w:p>
        </w:tc>
        <w:tc>
          <w:tcPr>
            <w:tcW w:w="3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3411733C" w14:textId="77777777" w:rsidR="00D56334" w:rsidRDefault="00000000">
            <w:r>
              <w:rPr>
                <w:color w:val="333333"/>
                <w:sz w:val="18"/>
                <w:szCs w:val="18"/>
              </w:rPr>
              <w:t>Implement SECP256K1 payload signing</w:t>
            </w:r>
          </w:p>
        </w:tc>
        <w:tc>
          <w:tcPr>
            <w:tcW w:w="1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1C7EA528" w14:textId="77777777" w:rsidR="00D56334" w:rsidRDefault="00000000">
            <w:r>
              <w:rPr>
                <w:color w:val="333333"/>
                <w:sz w:val="18"/>
                <w:szCs w:val="18"/>
              </w:rPr>
              <w:t>Rob</w:t>
            </w:r>
          </w:p>
        </w:tc>
        <w:tc>
          <w:tcPr>
            <w:tcW w:w="1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4192B9A3" w14:textId="77777777" w:rsidR="00D56334" w:rsidRDefault="00000000">
            <w:pPr>
              <w:jc w:val="center"/>
            </w:pPr>
            <w:r>
              <w:rPr>
                <w:b/>
                <w:bCs/>
                <w:color w:val="2E7D32"/>
                <w:sz w:val="18"/>
                <w:szCs w:val="18"/>
              </w:rPr>
              <w:t>COMPLETE</w:t>
            </w:r>
          </w:p>
        </w:tc>
        <w:tc>
          <w:tcPr>
            <w:tcW w:w="3154"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34E86E58" w14:textId="77777777" w:rsidR="00D56334" w:rsidRDefault="00000000">
            <w:r>
              <w:rPr>
                <w:color w:val="333333"/>
                <w:sz w:val="18"/>
                <w:szCs w:val="18"/>
              </w:rPr>
              <w:t xml:space="preserve">Sign the canonical payload string with your private key. Output must be hex-encoded signature compatible with the on-ledger VerifyValidity logic.</w:t>
            </w:r>
            <w:r>
              <w:rPr>
                <w:b/>
                <w:bCs/>
                <w:color w:val="2E7D32"/>
              </w:rPr>
              <w:t xml:space="preserve"> Confirmed 11 July 2026. Two encoding defects were found and fixed. First, the signature must be DER-encoded (ASN.1 SEQUENCE beginning 0x30); the @noble/secp256k1 v2.3 toBytes("der") call returns the raw compact form and must not be used. Second, Daml sha256 takes a hex-encoded byte string and hashes the decoded bytes, so sha256 (toHex payload) is SHA-256 over the raw UTF-8 bytes of the payload, not over the hex characters.</w:t>
            </w:r>
          </w:p>
        </w:tc>
      </w:tr>
      <w:tr w:rsidR="00D56334" w14:paraId="0C18EF80" w14:textId="77777777">
        <w:tblPrEx>
          <w:tblCellMar>
            <w:top w:w="0" w:type="dxa"/>
            <w:bottom w:w="0" w:type="dxa"/>
          </w:tblCellMar>
        </w:tblPrEx>
        <w:tc>
          <w:tcPr>
            <w:tcW w:w="6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041097E1" w14:textId="77777777" w:rsidR="00D56334" w:rsidRDefault="00000000">
            <w:r>
              <w:rPr>
                <w:color w:val="333333"/>
                <w:sz w:val="18"/>
                <w:szCs w:val="18"/>
              </w:rPr>
              <w:t>03</w:t>
            </w:r>
          </w:p>
        </w:tc>
        <w:tc>
          <w:tcPr>
            <w:tcW w:w="3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0B9F42C5" w14:textId="77777777" w:rsidR="00D56334" w:rsidRDefault="00000000">
            <w:r>
              <w:rPr>
                <w:color w:val="333333"/>
                <w:sz w:val="18"/>
                <w:szCs w:val="18"/>
              </w:rPr>
              <w:t xml:space="preserve">Build ProcessAttestationRequest submission</w:t>
            </w:r>
          </w:p>
        </w:tc>
        <w:tc>
          <w:tcPr>
            <w:tcW w:w="1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77D14399" w14:textId="77777777" w:rsidR="00D56334" w:rsidRDefault="00000000">
            <w:r>
              <w:rPr>
                <w:color w:val="333333"/>
                <w:sz w:val="18"/>
                <w:szCs w:val="18"/>
              </w:rPr>
              <w:t>Rob</w:t>
            </w:r>
          </w:p>
        </w:tc>
        <w:tc>
          <w:tcPr>
            <w:tcW w:w="1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321B4217" w14:textId="77777777" w:rsidR="00D56334" w:rsidRDefault="00000000">
            <w:pPr>
              <w:jc w:val="center"/>
            </w:pPr>
            <w:r>
              <w:rPr>
                <w:b/>
                <w:bCs/>
                <w:color w:val="2E7D32"/>
                <w:sz w:val="18"/>
                <w:szCs w:val="18"/>
              </w:rPr>
              <w:t>COMPLETE</w:t>
            </w:r>
          </w:p>
        </w:tc>
        <w:tc>
          <w:tcPr>
            <w:tcW w:w="3154"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5AC3296C" w14:textId="77777777" w:rsidR="00D56334" w:rsidRDefault="00000000">
            <w:r>
              <w:rPr>
                <w:color w:val="333333"/>
                <w:sz w:val="18"/>
                <w:szCs w:val="18"/>
              </w:rPr>
              <w:t xml:space="preserve">Replicate the Bruno ProcessAttestationRequest call with real signed payloads. Start with hardcoded test scores (value: 80, </w:t>
              <w:lastRenderedPageBreak/>
              <w:t>range: 2) to isolate signing from scoring.</w:t>
            </w:r>
          </w:p>
        </w:tc>
      </w:tr>
      <w:tr w:rsidR="00D56334" w14:paraId="006164EE" w14:textId="77777777">
        <w:tblPrEx>
          <w:tblCellMar>
            <w:top w:w="0" w:type="dxa"/>
            <w:bottom w:w="0" w:type="dxa"/>
          </w:tblCellMar>
        </w:tblPrEx>
        <w:tc>
          <w:tcPr>
            <w:tcW w:w="6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33A8BE1E" w14:textId="77777777" w:rsidR="00D56334" w:rsidRDefault="00000000">
            <w:r>
              <w:rPr>
                <w:color w:val="333333"/>
                <w:sz w:val="18"/>
                <w:szCs w:val="18"/>
              </w:rPr>
              <w:lastRenderedPageBreak/>
              <w:t>04</w:t>
            </w:r>
          </w:p>
        </w:tc>
        <w:tc>
          <w:tcPr>
            <w:tcW w:w="3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6B925CB6" w14:textId="77777777" w:rsidR="00D56334" w:rsidRDefault="00000000">
            <w:r>
              <w:rPr>
                <w:color w:val="333333"/>
                <w:sz w:val="18"/>
                <w:szCs w:val="18"/>
              </w:rPr>
              <w:t>End-to-end verification test on DevNet</w:t>
            </w:r>
          </w:p>
        </w:tc>
        <w:tc>
          <w:tcPr>
            <w:tcW w:w="1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68FBADD2" w14:textId="77777777" w:rsidR="00D56334" w:rsidRDefault="00000000">
            <w:r>
              <w:rPr>
                <w:color w:val="333333"/>
                <w:sz w:val="18"/>
                <w:szCs w:val="18"/>
              </w:rPr>
              <w:t>Rob</w:t>
            </w:r>
          </w:p>
        </w:tc>
        <w:tc>
          <w:tcPr>
            <w:tcW w:w="1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1A484D4C" w14:textId="77777777" w:rsidR="00D56334" w:rsidRDefault="00000000">
            <w:pPr>
              <w:jc w:val="center"/>
            </w:pPr>
            <w:r>
              <w:rPr>
                <w:b/>
                <w:bCs/>
                <w:color w:val="2E7D32"/>
                <w:sz w:val="18"/>
                <w:szCs w:val="18"/>
              </w:rPr>
              <w:t>COMPLETE</w:t>
            </w:r>
          </w:p>
        </w:tc>
        <w:tc>
          <w:tcPr>
            <w:tcW w:w="3154"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62CA27B0" w14:textId="77777777" w:rsidR="00D56334" w:rsidRDefault="00000000">
            <w:r>
              <w:rPr>
                <w:color w:val="333333"/>
                <w:sz w:val="18"/>
                <w:szCs w:val="18"/>
              </w:rPr>
              <w:t xml:space="preserve">Run the full flow: auth, fetch pending request, sign, submit, verify. The VerifyAttestationValidity call must return ttl: true, signature: true, overall_valid: true. If signature fails, the issue is in payload construction or key format.</w:t>
            </w:r>
          </w:p>
        </w:tc>
      </w:tr>
      <w:tr w:rsidR="00D56334" w14:paraId="360036EC" w14:textId="77777777">
        <w:tblPrEx>
          <w:tblCellMar>
            <w:top w:w="0" w:type="dxa"/>
            <w:bottom w:w="0" w:type="dxa"/>
          </w:tblCellMar>
        </w:tblPrEx>
        <w:tc>
          <w:tcPr>
            <w:tcW w:w="6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3369B7B5" w14:textId="77777777" w:rsidR="00D56334" w:rsidRDefault="00000000">
            <w:r>
              <w:rPr>
                <w:color w:val="333333"/>
                <w:sz w:val="18"/>
                <w:szCs w:val="18"/>
              </w:rPr>
              <w:t>05</w:t>
            </w:r>
          </w:p>
        </w:tc>
        <w:tc>
          <w:tcPr>
            <w:tcW w:w="32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79B96BE6" w14:textId="77777777" w:rsidR="00D56334" w:rsidRDefault="00000000">
            <w:r>
              <w:rPr>
                <w:color w:val="333333"/>
                <w:sz w:val="18"/>
                <w:szCs w:val="18"/>
              </w:rPr>
              <w:t>Integrate STRATA AI scoring engine</w:t>
            </w:r>
          </w:p>
        </w:tc>
        <w:tc>
          <w:tcPr>
            <w:tcW w:w="12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596D5A47" w14:textId="77777777" w:rsidR="00D56334" w:rsidRDefault="00000000">
            <w:r>
              <w:rPr>
                <w:color w:val="333333"/>
                <w:sz w:val="18"/>
                <w:szCs w:val="18"/>
              </w:rPr>
              <w:t>Rob</w:t>
            </w:r>
          </w:p>
        </w:tc>
        <w:tc>
          <w:tcPr>
            <w:tcW w:w="1200" w:type="dxa"/>
            <w:tcBorders>
              <w:top w:val="single" w:sz="1" w:space="0" w:color="D0D4DC"/>
              <w:left w:val="single" w:sz="1" w:space="0" w:color="D0D4DC"/>
              <w:bottom w:val="single" w:sz="1" w:space="0" w:color="D0D4DC"/>
              <w:right w:val="single" w:sz="1" w:space="0" w:color="D0D4DC"/>
            </w:tcBorders>
            <w:shd w:val="clear" w:color="auto" w:fill="FFF4E5"/>
            <w:tcMar>
              <w:top w:w="80" w:type="dxa"/>
              <w:left w:w="120" w:type="dxa"/>
              <w:bottom w:w="80" w:type="dxa"/>
              <w:right w:w="120" w:type="dxa"/>
            </w:tcMar>
          </w:tcPr>
          <w:p w14:paraId="532D3C12" w14:textId="77777777" w:rsidR="00D56334" w:rsidRDefault="00000000">
            <w:pPr>
              <w:jc w:val="center"/>
            </w:pPr>
            <w:r>
              <w:rPr>
                <w:b/>
                <w:bCs/>
                <w:color w:val="E65100"/>
                <w:sz w:val="18"/>
                <w:szCs w:val="18"/>
              </w:rPr>
              <w:t>BLOCKED</w:t>
            </w:r>
          </w:p>
        </w:tc>
        <w:tc>
          <w:tcPr>
            <w:tcW w:w="3154"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0966560F" w14:textId="77777777" w:rsidR="00D56334" w:rsidRDefault="00000000">
            <w:r>
              <w:rPr>
                <w:color w:val="333333"/>
                <w:sz w:val="18"/>
                <w:szCs w:val="18"/>
              </w:rPr>
              <w:t xml:space="preserve">Replace hardcoded test scores with live venue data. This connects the PoLi Oracle to the STRATA AI computation layer. Four sub-scores: poliScore, depthScore, spreadScore, balanceScore.</w:t>
            </w:r>
          </w:p>
          <w:p>
            <w:r>
              <w:rPr>
                <w:b/>
                <w:bCs/>
                <w:color w:val="333333"/>
                <w:sz w:val="18"/>
                <w:szCs w:val="18"/>
              </w:rPr>
              <w:t xml:space="preserve">Status changed to BLOCKED on 12 July 2026. Not deferred by choice: the integration cannot be built correctly against the contract as it stands.</w:t>
            </w:r>
          </w:p>
          <w:p>
            <w:r>
              <w:rPr>
                <w:color w:val="333333"/>
                <w:sz w:val="18"/>
                <w:szCs w:val="18"/>
              </w:rPr>
              <w:t xml:space="preserve">STRATA does not compute four scores. It computes a weighted five-factor composite: Data Quality 30 per cent, Resilience 20 per cent, Execution Integrity 20 per cent, Fragmentation 15 per cent, Regime Stability 15 per cent. The contract carries four fields, so the mapping is a flattening: poLiScore takes the composite, depthScore takes Resilience, spreadScore takes Execution Integrity, balanceScore takes Fragmentation. Data Quality and Regime Stability, together 45 per cent of the composite weight, have nowhere to go and are not represented on the attestation at all.</w:t>
            </w:r>
          </w:p>
          <w:p>
            <w:r>
              <w:rPr>
                <w:color w:val="333333"/>
                <w:sz w:val="18"/>
                <w:szCs w:val="18"/>
              </w:rPr>
              <w:t xml:space="preserve">The range field is also now understood. It carries stability_score scaled 0 to 10, derived from the composite's own variance. The stub sends a fixed range of 2 on every attestation, which means every attestation issued to date asserts a confidence level that was never computed. It is a signed field.</w:t>
            </w:r>
          </w:p>
          <w:p>
            <w:r>
              <w:rPr>
                <w:color w:val="333333"/>
                <w:sz w:val="18"/>
                <w:szCs w:val="18"/>
              </w:rPr>
              <w:t xml:space="preserve">STRATA exposes GET /api/analytics/l3f/snapshot/:symbol, returning the full factor breakdown plus a contributing_venues array with per-venue depth, spread and weight. Latency is 18ms cached, sub-200ms cold. Insufficient data returns HTTP 503. There is no model version identifier.</w:t>
            </w:r>
          </w:p>
          <w:p>
            <w:r>
              <w:rPr>
                <w:b/>
                <w:bCs/>
                <w:color w:val="333333"/>
                <w:sz w:val="18"/>
                <w:szCs w:val="18"/>
              </w:rPr>
              <w:t xml:space="preserve">Building against a four-field structure Stratalink is about to ask IntellectEU to change would be wasted work. This item follows the contract change, it does not precede it. See PoLi-CR-01 v2.3.</w:t>
            </w:r>
          </w:p>
        </w:tc>
      </w:tr>
    </w:tbl>
    <w:p w14:paraId="4147BB6C" w14:textId="77777777" w:rsidR="00D56334" w:rsidRDefault="00D56334">
      <w:pPr>
        <w:spacing w:after="60"/>
      </w:pPr>
    </w:p>
    <w:p w14:paraId="77EE0735" w14:textId="77777777" w:rsidR="00D56334" w:rsidRDefault="00000000">
      <w:pPr>
        <w:pStyle w:val="Heading1"/>
        <w:spacing w:after="120"/>
      </w:pPr>
      <w:r>
        <w:t>Phase 3: Consumer and Polling Infrastructure</w:t>
      </w:r>
    </w:p>
    <w:p w14:paraId="01976874" w14:textId="77777777" w:rsidR="00D56334" w:rsidRDefault="00000000">
      <w:pPr>
        <w:spacing w:after="120"/>
      </w:pPr>
      <w:r>
        <w:rPr>
          <w:color w:val="333333"/>
        </w:rPr>
        <w:t xml:space="preserve">Your service needs to detect incoming AttestationRequest contracts and process them automatically rather than relying on manual Bruno calls.</w:t>
      </w:r>
    </w:p>
    <w:p w14:paraId="288EE8B5" w14:textId="77777777" w:rsidR="00D56334" w:rsidRDefault="00D56334">
      <w:pPr>
        <w:spacing w:after="60"/>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1200"/>
        <w:gridCol w:w="1200"/>
        <w:gridCol w:w="3154"/>
      </w:tblGrid>
      <w:tr w:rsidR="00D56334" w14:paraId="19807BA0" w14:textId="77777777">
        <w:tblPrEx>
          <w:tblCellMar>
            <w:top w:w="0" w:type="dxa"/>
            <w:bottom w:w="0" w:type="dxa"/>
          </w:tblCellMar>
        </w:tblPrEx>
        <w:tc>
          <w:tcPr>
            <w:tcW w:w="600" w:type="dxa"/>
            <w:tcBorders>
              <w:top w:val="single" w:sz="1" w:space="0" w:color="D0D4DC"/>
              <w:left w:val="single" w:sz="1" w:space="0" w:color="D0D4DC"/>
              <w:bottom w:val="single" w:sz="1" w:space="0" w:color="D0D4DC"/>
              <w:right w:val="single" w:sz="1" w:space="0" w:color="D0D4DC"/>
            </w:tcBorders>
            <w:shd w:val="clear" w:color="auto" w:fill="0D1E3A"/>
            <w:tcMar>
              <w:top w:w="80" w:type="dxa"/>
              <w:left w:w="120" w:type="dxa"/>
              <w:bottom w:w="80" w:type="dxa"/>
              <w:right w:w="120" w:type="dxa"/>
            </w:tcMar>
          </w:tcPr>
          <w:p w14:paraId="0D8234EF" w14:textId="77777777" w:rsidR="00D56334" w:rsidRDefault="00000000">
            <w:r>
              <w:rPr>
                <w:b/>
                <w:bCs/>
                <w:color w:val="FFFFFF"/>
                <w:sz w:val="18"/>
                <w:szCs w:val="18"/>
              </w:rPr>
              <w:t>#</w:t>
            </w:r>
          </w:p>
        </w:tc>
        <w:tc>
          <w:tcPr>
            <w:tcW w:w="3200" w:type="dxa"/>
            <w:tcBorders>
              <w:top w:val="single" w:sz="1" w:space="0" w:color="D0D4DC"/>
              <w:left w:val="single" w:sz="1" w:space="0" w:color="D0D4DC"/>
              <w:bottom w:val="single" w:sz="1" w:space="0" w:color="D0D4DC"/>
              <w:right w:val="single" w:sz="1" w:space="0" w:color="D0D4DC"/>
            </w:tcBorders>
            <w:shd w:val="clear" w:color="auto" w:fill="0D1E3A"/>
            <w:tcMar>
              <w:top w:w="80" w:type="dxa"/>
              <w:left w:w="120" w:type="dxa"/>
              <w:bottom w:w="80" w:type="dxa"/>
              <w:right w:w="120" w:type="dxa"/>
            </w:tcMar>
          </w:tcPr>
          <w:p w14:paraId="5735773F" w14:textId="77777777" w:rsidR="00D56334" w:rsidRDefault="00000000">
            <w:r>
              <w:rPr>
                <w:b/>
                <w:bCs/>
                <w:color w:val="FFFFFF"/>
                <w:sz w:val="18"/>
                <w:szCs w:val="18"/>
              </w:rPr>
              <w:t>Action Item</w:t>
            </w:r>
          </w:p>
        </w:tc>
        <w:tc>
          <w:tcPr>
            <w:tcW w:w="1200" w:type="dxa"/>
            <w:tcBorders>
              <w:top w:val="single" w:sz="1" w:space="0" w:color="D0D4DC"/>
              <w:left w:val="single" w:sz="1" w:space="0" w:color="D0D4DC"/>
              <w:bottom w:val="single" w:sz="1" w:space="0" w:color="D0D4DC"/>
              <w:right w:val="single" w:sz="1" w:space="0" w:color="D0D4DC"/>
            </w:tcBorders>
            <w:shd w:val="clear" w:color="auto" w:fill="0D1E3A"/>
            <w:tcMar>
              <w:top w:w="80" w:type="dxa"/>
              <w:left w:w="120" w:type="dxa"/>
              <w:bottom w:w="80" w:type="dxa"/>
              <w:right w:w="120" w:type="dxa"/>
            </w:tcMar>
          </w:tcPr>
          <w:p w14:paraId="392C99D8" w14:textId="77777777" w:rsidR="00D56334" w:rsidRDefault="00000000">
            <w:r>
              <w:rPr>
                <w:b/>
                <w:bCs/>
                <w:color w:val="FFFFFF"/>
                <w:sz w:val="18"/>
                <w:szCs w:val="18"/>
              </w:rPr>
              <w:t>Owner</w:t>
            </w:r>
          </w:p>
        </w:tc>
        <w:tc>
          <w:tcPr>
            <w:tcW w:w="1200" w:type="dxa"/>
            <w:tcBorders>
              <w:top w:val="single" w:sz="1" w:space="0" w:color="D0D4DC"/>
              <w:left w:val="single" w:sz="1" w:space="0" w:color="D0D4DC"/>
              <w:bottom w:val="single" w:sz="1" w:space="0" w:color="D0D4DC"/>
              <w:right w:val="single" w:sz="1" w:space="0" w:color="D0D4DC"/>
            </w:tcBorders>
            <w:shd w:val="clear" w:color="auto" w:fill="0D1E3A"/>
            <w:tcMar>
              <w:top w:w="80" w:type="dxa"/>
              <w:left w:w="120" w:type="dxa"/>
              <w:bottom w:w="80" w:type="dxa"/>
              <w:right w:w="120" w:type="dxa"/>
            </w:tcMar>
          </w:tcPr>
          <w:p w14:paraId="7F16CF8D" w14:textId="77777777" w:rsidR="00D56334" w:rsidRDefault="00000000">
            <w:r>
              <w:rPr>
                <w:b/>
                <w:bCs/>
                <w:color w:val="FFFFFF"/>
                <w:sz w:val="18"/>
                <w:szCs w:val="18"/>
              </w:rPr>
              <w:t>Status</w:t>
            </w:r>
          </w:p>
        </w:tc>
        <w:tc>
          <w:tcPr>
            <w:tcW w:w="3154" w:type="dxa"/>
            <w:tcBorders>
              <w:top w:val="single" w:sz="1" w:space="0" w:color="D0D4DC"/>
              <w:left w:val="single" w:sz="1" w:space="0" w:color="D0D4DC"/>
              <w:bottom w:val="single" w:sz="1" w:space="0" w:color="D0D4DC"/>
              <w:right w:val="single" w:sz="1" w:space="0" w:color="D0D4DC"/>
            </w:tcBorders>
            <w:shd w:val="clear" w:color="auto" w:fill="0D1E3A"/>
            <w:tcMar>
              <w:top w:w="80" w:type="dxa"/>
              <w:left w:w="120" w:type="dxa"/>
              <w:bottom w:w="80" w:type="dxa"/>
              <w:right w:w="120" w:type="dxa"/>
            </w:tcMar>
          </w:tcPr>
          <w:p w14:paraId="29255D7E" w14:textId="77777777" w:rsidR="00D56334" w:rsidRDefault="00000000">
            <w:r>
              <w:rPr>
                <w:b/>
                <w:bCs/>
                <w:color w:val="FFFFFF"/>
                <w:sz w:val="18"/>
                <w:szCs w:val="18"/>
              </w:rPr>
              <w:t>Notes</w:t>
            </w:r>
          </w:p>
        </w:tc>
      </w:tr>
      <w:tr w:rsidR="00D56334" w14:paraId="6842C93E" w14:textId="77777777">
        <w:tblPrEx>
          <w:tblCellMar>
            <w:top w:w="0" w:type="dxa"/>
            <w:bottom w:w="0" w:type="dxa"/>
          </w:tblCellMar>
        </w:tblPrEx>
        <w:tc>
          <w:tcPr>
            <w:tcW w:w="6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71135C39" w14:textId="77777777" w:rsidR="00D56334" w:rsidRDefault="00000000">
            <w:r>
              <w:rPr>
                <w:color w:val="333333"/>
                <w:sz w:val="18"/>
                <w:szCs w:val="18"/>
              </w:rPr>
              <w:t>01</w:t>
            </w:r>
          </w:p>
        </w:tc>
        <w:tc>
          <w:tcPr>
            <w:tcW w:w="32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0EC5F244" w14:textId="77777777" w:rsidR="00D56334" w:rsidRDefault="00000000">
            <w:r>
              <w:rPr>
                <w:color w:val="333333"/>
                <w:sz w:val="18"/>
                <w:szCs w:val="18"/>
              </w:rPr>
              <w:t xml:space="preserve">Build AttestationRequest polling or event listener</w:t>
            </w:r>
          </w:p>
        </w:tc>
        <w:tc>
          <w:tcPr>
            <w:tcW w:w="12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5AEBE268" w14:textId="77777777" w:rsidR="00D56334" w:rsidRDefault="00000000">
            <w:r>
              <w:rPr>
                <w:color w:val="333333"/>
                <w:sz w:val="18"/>
                <w:szCs w:val="18"/>
              </w:rPr>
              <w:t>Rob</w:t>
            </w:r>
          </w:p>
        </w:tc>
        <w:tc>
          <w:tcPr>
            <w:tcW w:w="1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2659A977" w14:textId="77777777" w:rsidR="00D56334" w:rsidRDefault="00000000">
            <w:pPr>
              <w:jc w:val="center"/>
            </w:pPr>
            <w:r>
              <w:rPr>
                <w:b/>
                <w:bCs/>
                <w:color w:val="2E7D32"/>
                <w:sz w:val="18"/>
                <w:szCs w:val="18"/>
              </w:rPr>
              <w:t>COMPLETE</w:t>
            </w:r>
          </w:p>
        </w:tc>
        <w:tc>
          <w:tcPr>
            <w:tcW w:w="3154"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58C71378" w14:textId="77777777" w:rsidR="00D56334" w:rsidRDefault="00000000">
            <w:r>
              <w:rPr>
                <w:color w:val="333333"/>
                <w:sz w:val="18"/>
                <w:szCs w:val="18"/>
              </w:rPr>
              <w:t xml:space="preserve">Two approaches: poll /v2/state/active-contracts with template filter (as Bruno does), or use the /v2/updates/transaction-tree stream for real-time event-driven processing.</w:t>
            </w:r>
          </w:p>
          <w:p>
            <w:r>
              <w:rPr>
                <w:color w:val="333333"/>
                <w:sz w:val="18"/>
                <w:szCs w:val="18"/>
              </w:rPr>
              <w:t xml:space="preserve">Complete 11 July 2026. Polling chosen over the transaction-tree stream, deliberately: it mirrors the Bruno collection exactly, so any discrepancy is attributable to the adapter rather than to a difference in detection mechanism. The streaming upgrade replaces only the detection layer and can be made later without touching the processing path.</w:t>
            </w:r>
          </w:p>
          <w:p>
            <w:r>
              <w:rPr>
                <w:color w:val="333333"/>
                <w:sz w:val="18"/>
                <w:szCs w:val="18"/>
              </w:rPr>
              <w:t xml:space="preserve">The blocker was a package-name versus package-hash asymmetry. The JSON Ledger API returns template IDs in package-hash form but only accepts the package-name form as a query filter. Do not round-trip a returned templateId back into a filter.</w:t>
            </w:r>
          </w:p>
          <w:p>
            <w:r>
              <w:rPr>
                <w:color w:val="333333"/>
                <w:sz w:val="18"/>
                <w:szCs w:val="18"/>
              </w:rPr>
              <w:t xml:space="preserve">The active-contracts endpoint paginates. fetchActiveRequests drains every page. Missing a request is a correctness failure, not a performance one.</w:t>
            </w:r>
          </w:p>
        </w:tc>
      </w:tr>
      <w:tr w:rsidR="00D56334" w14:paraId="23F8F980" w14:textId="77777777">
        <w:tblPrEx>
          <w:tblCellMar>
            <w:top w:w="0" w:type="dxa"/>
            <w:bottom w:w="0" w:type="dxa"/>
          </w:tblCellMar>
        </w:tblPrEx>
        <w:tc>
          <w:tcPr>
            <w:tcW w:w="600" w:type="dxa"/>
            <w:tcBorders>
              <w:top w:val="single" w:sz="1" w:space="0" w:color="D0D4DC"/>
              <w:left w:val="single" w:sz="1" w:space="0" w:color="D0D4DC"/>
              <w:bottom w:val="single" w:sz="1" w:space="0" w:color="D0D4DC"/>
              <w:right w:val="single" w:sz="1" w:space="0" w:color="D0D4DC"/>
            </w:tcBorders>
            <w:shd w:val="clear" w:color="auto" w:fill="F2F4F7"/>
            <w:tcMar>
              <w:top w:w="80" w:type="dxa"/>
              <w:left w:w="120" w:type="dxa"/>
              <w:bottom w:w="80" w:type="dxa"/>
              <w:right w:w="120" w:type="dxa"/>
            </w:tcMar>
          </w:tcPr>
          <w:p w14:paraId="652F49E1" w14:textId="77777777" w:rsidR="00D56334" w:rsidRDefault="00000000">
            <w:r>
              <w:rPr>
                <w:color w:val="333333"/>
                <w:sz w:val="18"/>
                <w:szCs w:val="18"/>
              </w:rPr>
              <w:t>02</w:t>
            </w:r>
          </w:p>
        </w:tc>
        <w:tc>
          <w:tcPr>
            <w:tcW w:w="3200" w:type="dxa"/>
            <w:tcBorders>
              <w:top w:val="single" w:sz="1" w:space="0" w:color="D0D4DC"/>
              <w:left w:val="single" w:sz="1" w:space="0" w:color="D0D4DC"/>
              <w:bottom w:val="single" w:sz="1" w:space="0" w:color="D0D4DC"/>
              <w:right w:val="single" w:sz="1" w:space="0" w:color="D0D4DC"/>
            </w:tcBorders>
            <w:shd w:val="clear" w:color="auto" w:fill="F2F4F7"/>
            <w:tcMar>
              <w:top w:w="80" w:type="dxa"/>
              <w:left w:w="120" w:type="dxa"/>
              <w:bottom w:w="80" w:type="dxa"/>
              <w:right w:w="120" w:type="dxa"/>
            </w:tcMar>
          </w:tcPr>
          <w:p w14:paraId="62322E54" w14:textId="77777777" w:rsidR="00D56334" w:rsidRDefault="00000000">
            <w:r>
              <w:rPr>
                <w:color w:val="333333"/>
                <w:sz w:val="18"/>
                <w:szCs w:val="18"/>
              </w:rPr>
              <w:t>Implement consumer registration flow</w:t>
            </w:r>
          </w:p>
        </w:tc>
        <w:tc>
          <w:tcPr>
            <w:tcW w:w="1200" w:type="dxa"/>
            <w:tcBorders>
              <w:top w:val="single" w:sz="1" w:space="0" w:color="D0D4DC"/>
              <w:left w:val="single" w:sz="1" w:space="0" w:color="D0D4DC"/>
              <w:bottom w:val="single" w:sz="1" w:space="0" w:color="D0D4DC"/>
              <w:right w:val="single" w:sz="1" w:space="0" w:color="D0D4DC"/>
            </w:tcBorders>
            <w:shd w:val="clear" w:color="auto" w:fill="F2F4F7"/>
            <w:tcMar>
              <w:top w:w="80" w:type="dxa"/>
              <w:left w:w="120" w:type="dxa"/>
              <w:bottom w:w="80" w:type="dxa"/>
              <w:right w:w="120" w:type="dxa"/>
            </w:tcMar>
          </w:tcPr>
          <w:p w14:paraId="3A283471" w14:textId="77777777" w:rsidR="00D56334" w:rsidRDefault="00000000">
            <w:r>
              <w:rPr>
                <w:color w:val="333333"/>
                <w:sz w:val="18"/>
                <w:szCs w:val="18"/>
              </w:rPr>
              <w:t>Rob</w:t>
            </w:r>
          </w:p>
        </w:tc>
        <w:tc>
          <w:tcPr>
            <w:tcW w:w="1200" w:type="dxa"/>
            <w:tcBorders>
              <w:top w:val="single" w:sz="1" w:space="0" w:color="D0D4DC"/>
              <w:left w:val="single" w:sz="1" w:space="0" w:color="D0D4DC"/>
              <w:bottom w:val="single" w:sz="1" w:space="0" w:color="D0D4DC"/>
              <w:right w:val="single" w:sz="1" w:space="0" w:color="D0D4DC"/>
            </w:tcBorders>
            <w:shd w:val="clear" w:color="auto" w:fill="FFEBEE"/>
            <w:tcMar>
              <w:top w:w="80" w:type="dxa"/>
              <w:left w:w="120" w:type="dxa"/>
              <w:bottom w:w="80" w:type="dxa"/>
              <w:right w:w="120" w:type="dxa"/>
            </w:tcMar>
          </w:tcPr>
          <w:p w14:paraId="3370AA6B" w14:textId="77777777" w:rsidR="00D56334" w:rsidRDefault="00000000">
            <w:pPr>
              <w:jc w:val="center"/>
            </w:pPr>
            <w:r>
              <w:rPr>
                <w:b/>
                <w:bCs/>
                <w:color w:val="333333"/>
                <w:sz w:val="18"/>
                <w:szCs w:val="18"/>
              </w:rPr>
              <w:t>DESCOPED</w:t>
            </w:r>
          </w:p>
        </w:tc>
        <w:tc>
          <w:tcPr>
            <w:tcW w:w="3154" w:type="dxa"/>
            <w:tcBorders>
              <w:top w:val="single" w:sz="1" w:space="0" w:color="D0D4DC"/>
              <w:left w:val="single" w:sz="1" w:space="0" w:color="D0D4DC"/>
              <w:bottom w:val="single" w:sz="1" w:space="0" w:color="D0D4DC"/>
              <w:right w:val="single" w:sz="1" w:space="0" w:color="D0D4DC"/>
            </w:tcBorders>
            <w:shd w:val="clear" w:color="auto" w:fill="F2F4F7"/>
            <w:tcMar>
              <w:top w:w="80" w:type="dxa"/>
              <w:left w:w="120" w:type="dxa"/>
              <w:bottom w:w="80" w:type="dxa"/>
              <w:right w:w="120" w:type="dxa"/>
            </w:tcMar>
          </w:tcPr>
          <w:p w14:paraId="04469CC6" w14:textId="77777777" w:rsidR="00D56334" w:rsidRDefault="00000000">
            <w:r>
              <w:rPr>
                <w:color w:val="333333"/>
                <w:sz w:val="18"/>
                <w:szCs w:val="18"/>
              </w:rPr>
              <w:t xml:space="preserve">Consumer onboarding. Auth-Consumer call, then exercise RequestAttestation. May be manual initially; automate later.</w:t>
            </w:r>
          </w:p>
          <w:p>
            <w:r>
              <w:rPr>
                <w:b/>
                <w:bCs/>
                <w:color w:val="333333"/>
                <w:sz w:val="18"/>
                <w:szCs w:val="18"/>
              </w:rPr>
              <w:t xml:space="preserve">Recommended for descope, 12 July 2026. The Oracle Adapter is the OPERATOR, not the consumer. Consumer registration is a test harness for producing AttestationRequest contracts to process, and Bruno already does that job.</w:t>
            </w:r>
          </w:p>
          <w:p>
            <w:r>
              <w:rPr>
                <w:color w:val="333333"/>
                <w:sz w:val="18"/>
                <w:szCs w:val="18"/>
              </w:rPr>
              <w:t xml:space="preserve">If consumer onboarding is needed as a product capability it belongs in the RCL or TILT, not in the Oracle Adapter. Retain the item only if a specific need emerges.</w:t>
            </w:r>
          </w:p>
        </w:tc>
      </w:tr>
      <w:tr w:rsidR="00D56334" w14:paraId="6D12407C" w14:textId="77777777">
        <w:tblPrEx>
          <w:tblCellMar>
            <w:top w:w="0" w:type="dxa"/>
            <w:bottom w:w="0" w:type="dxa"/>
          </w:tblCellMar>
        </w:tblPrEx>
        <w:tc>
          <w:tcPr>
            <w:tcW w:w="6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2188655D" w14:textId="77777777" w:rsidR="00D56334" w:rsidRDefault="00000000">
            <w:r>
              <w:rPr>
                <w:color w:val="333333"/>
                <w:sz w:val="18"/>
                <w:szCs w:val="18"/>
              </w:rPr>
              <w:t>03</w:t>
            </w:r>
          </w:p>
        </w:tc>
        <w:tc>
          <w:tcPr>
            <w:tcW w:w="32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08A56DAA" w14:textId="77777777" w:rsidR="00D56334" w:rsidRDefault="00000000">
            <w:r>
              <w:rPr>
                <w:color w:val="333333"/>
                <w:sz w:val="18"/>
                <w:szCs w:val="18"/>
              </w:rPr>
              <w:t>Build attestation lifecycle management</w:t>
            </w:r>
          </w:p>
        </w:tc>
        <w:tc>
          <w:tcPr>
            <w:tcW w:w="12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4D6CD42B" w14:textId="77777777" w:rsidR="00D56334" w:rsidRDefault="00000000">
            <w:r>
              <w:rPr>
                <w:color w:val="333333"/>
                <w:sz w:val="18"/>
                <w:szCs w:val="18"/>
              </w:rPr>
              <w:t>Rob</w:t>
            </w:r>
          </w:p>
        </w:tc>
        <w:tc>
          <w:tcPr>
            <w:tcW w:w="1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6314656A" w14:textId="77777777" w:rsidR="00D56334" w:rsidRDefault="00000000">
            <w:pPr>
              <w:jc w:val="center"/>
            </w:pPr>
            <w:r>
              <w:rPr>
                <w:b/>
                <w:bCs/>
                <w:color w:val="2E7D32"/>
                <w:sz w:val="18"/>
                <w:szCs w:val="18"/>
              </w:rPr>
              <w:t>COMPLETE</w:t>
            </w:r>
          </w:p>
        </w:tc>
        <w:tc>
          <w:tcPr>
            <w:tcW w:w="3154"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20836DA6" w14:textId="77777777" w:rsidR="00D56334" w:rsidRDefault="00000000">
            <w:r>
              <w:rPr>
                <w:color w:val="333333"/>
                <w:sz w:val="18"/>
                <w:szCs w:val="18"/>
              </w:rPr>
              <w:t>Track contract state: pending requests, processed attestations, rejected requests. Handle edge cases such as duplicate requests and stale TTL.</w:t>
            </w:r>
          </w:p>
          <w:p>
            <w:r>
              <w:rPr>
                <w:b/>
                <w:bCs/>
                <w:color w:val="333333"/>
                <w:sz w:val="18"/>
                <w:szCs w:val="18"/>
              </w:rPr>
              <w:t xml:space="preserve">Complete 12 July 2026, and it is not what this item originally described. It turned out to be reconciliation, not persistence.</w:t>
            </w:r>
          </w:p>
          <w:p>
            <w:r>
              <w:rPr>
                <w:color w:val="333333"/>
                <w:sz w:val="18"/>
                <w:szCs w:val="18"/>
              </w:rPr>
              <w:t xml:space="preserve">VER-21 established that the ledger enforces single-processing. A second ProcessRequest against an already-processed AttestationRequest returns CONTRACT_NOT_FOUND, errorCategory 11, grpcCodeValue 5. ProcessRequest archives the request, so duplicate attestation is not possible whatever the adapter's memory believes.</w:t>
            </w:r>
          </w:p>
          <w:p>
            <w:r>
              <w:rPr>
                <w:color w:val="333333"/>
                <w:sz w:val="18"/>
                <w:szCs w:val="18"/>
              </w:rPr>
              <w:t xml:space="preserve">The in-flight set was therefore guarding against something that cannot happen, and a persisted failed set would not have solved the problem it was built for: it records what the adapter believed, and after a timeout the adapter's belief is precisely what is in doubt. Only the ledger can settle it. Both sets have been removed. The adapter reconstructs its state from the ledger on every cycle.</w:t>
            </w:r>
          </w:p>
          <w:p>
            <w:r>
              <w:rPr>
                <w:color w:val="333333"/>
                <w:sz w:val="18"/>
                <w:szCs w:val="18"/>
              </w:rPr>
              <w:t xml:space="preserve">Note definite_answer: false in that error. The ledger is not saying whether your command had an effect, only that the contract is gone. If a command landed and its response was lost, an attestation exists that the Oracle has no record of issuing. That is a bookkeeping failure, not a duplicate risk, and CONTRACT_NOT_FOUND is therefore a reconcile signal, never a retry signal and never a shrug.</w:t>
            </w:r>
          </w:p>
          <w:p>
            <w:r>
              <w:rPr>
                <w:color w:val="333333"/>
                <w:sz w:val="18"/>
                <w:szCs w:val="18"/>
              </w:rPr>
              <w:t xml:space="preserve">Exactly one fact cannot be reconstructed from the ledger: which requests the Oracle deliberately did not answer, and why. A parked request is indistinguishable on-ledger from one the poller has not reached. That, and only that, is persisted, in data/parked.json. It is a BACKLOG, not a dead-letter box: every parked request will be reprocessed once the contract gains observationType.</w:t>
            </w:r>
          </w:p>
          <w:p>
            <w:r>
              <w:rPr>
                <w:color w:val="333333"/>
                <w:sz w:val="18"/>
                <w:szCs w:val="18"/>
              </w:rPr>
              <w:t xml:space="preserve">On stale TTL, referenced in the original note: there is no staleness guard, deliberately. A request outstanding for an hour is attested with a FRESH score. STRATA cannot produce a request-time score in any case, since the buffer is a 60-minute rolling window. A guard would be the Oracle refusing to answer a question it can answer, in service of one nobody can answer, and would substitute the Oracle's judgment for the consumer's on a threshold the consumer owns.</w:t>
            </w:r>
          </w:p>
        </w:tc>
      </w:tr>
      <w:tr w:rsidR="00D56334" w14:paraId="2568E1DD" w14:textId="77777777">
        <w:tblPrEx>
          <w:tblCellMar>
            <w:top w:w="0" w:type="dxa"/>
            <w:bottom w:w="0" w:type="dxa"/>
          </w:tblCellMar>
        </w:tblPrEx>
        <w:tc>
          <w:tcPr>
            <w:tcW w:w="600" w:type="dxa"/>
            <w:tcBorders>
              <w:top w:val="single" w:sz="1" w:space="0" w:color="D0D4DC"/>
              <w:left w:val="single" w:sz="1" w:space="0" w:color="D0D4DC"/>
              <w:bottom w:val="single" w:sz="1" w:space="0" w:color="D0D4DC"/>
              <w:right w:val="single" w:sz="1" w:space="0" w:color="D0D4DC"/>
            </w:tcBorders>
            <w:shd w:val="clear" w:color="auto" w:fill="F2F4F7"/>
            <w:tcMar>
              <w:top w:w="80" w:type="dxa"/>
              <w:left w:w="120" w:type="dxa"/>
              <w:bottom w:w="80" w:type="dxa"/>
              <w:right w:w="120" w:type="dxa"/>
            </w:tcMar>
          </w:tcPr>
          <w:p w14:paraId="7040C450" w14:textId="77777777" w:rsidR="00D56334" w:rsidRDefault="00000000">
            <w:r>
              <w:rPr>
                <w:color w:val="333333"/>
                <w:sz w:val="18"/>
                <w:szCs w:val="18"/>
              </w:rPr>
              <w:t>04</w:t>
            </w:r>
          </w:p>
        </w:tc>
        <w:tc>
          <w:tcPr>
            <w:tcW w:w="3200" w:type="dxa"/>
            <w:tcBorders>
              <w:top w:val="single" w:sz="1" w:space="0" w:color="D0D4DC"/>
              <w:left w:val="single" w:sz="1" w:space="0" w:color="D0D4DC"/>
              <w:bottom w:val="single" w:sz="1" w:space="0" w:color="D0D4DC"/>
              <w:right w:val="single" w:sz="1" w:space="0" w:color="D0D4DC"/>
            </w:tcBorders>
            <w:shd w:val="clear" w:color="auto" w:fill="F2F4F7"/>
            <w:tcMar>
              <w:top w:w="80" w:type="dxa"/>
              <w:left w:w="120" w:type="dxa"/>
              <w:bottom w:w="80" w:type="dxa"/>
              <w:right w:w="120" w:type="dxa"/>
            </w:tcMar>
          </w:tcPr>
          <w:p w14:paraId="7FB82739" w14:textId="77777777" w:rsidR="00D56334" w:rsidRDefault="00000000">
            <w:r>
              <w:rPr>
                <w:color w:val="333333"/>
                <w:sz w:val="18"/>
                <w:szCs w:val="18"/>
              </w:rPr>
              <w:t xml:space="preserve">Implement RejectAttestationRequest flow</w:t>
            </w:r>
          </w:p>
        </w:tc>
        <w:tc>
          <w:tcPr>
            <w:tcW w:w="1200" w:type="dxa"/>
            <w:tcBorders>
              <w:top w:val="single" w:sz="1" w:space="0" w:color="D0D4DC"/>
              <w:left w:val="single" w:sz="1" w:space="0" w:color="D0D4DC"/>
              <w:bottom w:val="single" w:sz="1" w:space="0" w:color="D0D4DC"/>
              <w:right w:val="single" w:sz="1" w:space="0" w:color="D0D4DC"/>
            </w:tcBorders>
            <w:shd w:val="clear" w:color="auto" w:fill="E6F4EA"/>
            <w:tcMar>
              <w:top w:w="80" w:type="dxa"/>
              <w:left w:w="120" w:type="dxa"/>
              <w:bottom w:w="80" w:type="dxa"/>
              <w:right w:w="120" w:type="dxa"/>
            </w:tcMar>
          </w:tcPr>
          <w:p w14:paraId="56C5A0C7" w14:textId="77777777" w:rsidR="00D56334" w:rsidRDefault="00000000">
            <w:r>
              <w:rPr>
                <w:color w:val="333333"/>
                <w:sz w:val="18"/>
                <w:szCs w:val="18"/>
              </w:rPr>
              <w:t>Rob</w:t>
            </w:r>
          </w:p>
        </w:tc>
        <w:tc>
          <w:tcPr>
            <w:tcW w:w="1200" w:type="dxa"/>
            <w:tcBorders>
              <w:top w:val="single" w:sz="1" w:space="0" w:color="D0D4DC"/>
              <w:left w:val="single" w:sz="1" w:space="0" w:color="D0D4DC"/>
              <w:bottom w:val="single" w:sz="1" w:space="0" w:color="D0D4DC"/>
              <w:right w:val="single" w:sz="1" w:space="0" w:color="D0D4DC"/>
            </w:tcBorders>
            <w:shd w:val="clear" w:color="auto" w:fill="FFEBEE"/>
            <w:tcMar>
              <w:top w:w="80" w:type="dxa"/>
              <w:left w:w="120" w:type="dxa"/>
              <w:bottom w:w="80" w:type="dxa"/>
              <w:right w:w="120" w:type="dxa"/>
            </w:tcMar>
          </w:tcPr>
          <w:p w14:paraId="76B5E1DC" w14:textId="77777777" w:rsidR="00D56334" w:rsidRDefault="00000000">
            <w:pPr>
              <w:jc w:val="center"/>
            </w:pPr>
            <w:r>
              <w:rPr>
                <w:b/>
                <w:bCs/>
                <w:color w:val="2E7D32"/>
                <w:sz w:val="18"/>
                <w:szCs w:val="18"/>
              </w:rPr>
              <w:t>COMPLETE</w:t>
            </w:r>
          </w:p>
        </w:tc>
        <w:tc>
          <w:tcPr>
            <w:tcW w:w="3154" w:type="dxa"/>
            <w:tcBorders>
              <w:top w:val="single" w:sz="1" w:space="0" w:color="D0D4DC"/>
              <w:left w:val="single" w:sz="1" w:space="0" w:color="D0D4DC"/>
              <w:bottom w:val="single" w:sz="1" w:space="0" w:color="D0D4DC"/>
              <w:right w:val="single" w:sz="1" w:space="0" w:color="D0D4DC"/>
            </w:tcBorders>
            <w:shd w:val="clear" w:color="auto" w:fill="F2F4F7"/>
            <w:tcMar>
              <w:top w:w="80" w:type="dxa"/>
              <w:left w:w="120" w:type="dxa"/>
              <w:bottom w:w="80" w:type="dxa"/>
              <w:right w:w="120" w:type="dxa"/>
            </w:tcMar>
          </w:tcPr>
          <w:p w14:paraId="3AA6A085" w14:textId="77777777" w:rsidR="00D56334" w:rsidRDefault="00000000">
            <w:r>
              <w:rPr>
                <w:color w:val="333333"/>
                <w:sz w:val="18"/>
                <w:szCs w:val="18"/>
              </w:rPr>
              <w:t xml:space="preserve">Not all requests should be honoured. Build the rejection path with reason logging, matching the Bruno RejectAttestationRequest call.</w:t>
            </w:r>
          </w:p>
          <w:p>
            <w:r>
              <w:rPr>
                <w:b/>
                <w:bCs/>
                <w:color w:val="333333"/>
                <w:sz w:val="18"/>
                <w:szCs w:val="18"/>
              </w:rPr>
              <w:t xml:space="preserve">Complete and proven on-ledger 12 July 2026. The first coded rejection Stratalink has written to a ledger:</w:t>
            </w:r>
          </w:p>
          <w:p>
            <w:r>
              <w:rPr>
                <w:color w:val="333333"/>
                <w:sz w:val="18"/>
                <w:szCs w:val="18"/>
              </w:rPr>
              <w:t xml:space="preserve">POLI-REJ-001|Asset pair not within DACT coverage universe|SHIB/USD|2026-07-12T01:23:18Z</w:t>
            </w:r>
          </w:p>
          <w:p>
            <w:r>
              <w:rPr>
                <w:color w:val="333333"/>
                <w:sz w:val="18"/>
                <w:szCs w:val="18"/>
              </w:rPr>
              <w:t xml:space="preserve">The governing principle, codified in POLI-REJ-STD-1.0: the Oracle rejects only when it cannot form a view. An attestation is a statement about the market; a rejection is a statement about Stratalink. Coverage failure is ours, data sparsity is the market's. Insufficient_data is therefore ATTESTED with a None rating, never rejected: it is a legitimate Status in the contract, and rejecting on it would discard the Oracle's most valuable output, namely the finding that a venue reports a pair as liquid and the book does not support the claim.</w:t>
            </w:r>
          </w:p>
          <w:p>
            <w:r>
              <w:rPr>
                <w:color w:val="333333"/>
                <w:sz w:val="18"/>
                <w:szCs w:val="18"/>
              </w:rPr>
              <w:t xml:space="preserve">Four codes: POLI-REJ-001 outside DACT coverage, 002 consumer not authorised, 003 calculation not implemented, 004 malformed request. Evaluated in code order, coverage first. 002 and 003 are dormant: the entitlement model has not been specified, and the contract errors on non-PoLiScore calculation types before the adapter sees them.</w:t>
            </w:r>
          </w:p>
          <w:p>
            <w:r>
              <w:rPr>
                <w:color w:val="333333"/>
                <w:sz w:val="18"/>
                <w:szCs w:val="18"/>
              </w:rPr>
              <w:t xml:space="preserve">The reason string is four pipe-delimited fields: code, human clause, subject, observed-at. Code first so the RCL can parse without natural-language processing; clause second so the raw ledger record is legible without the codebook. The contract asserts NOTHING about reason and will accept a null. The taxonomy is enforced entirely in the adapter and nothing on-ledger will tell you if it drifts.</w:t>
            </w:r>
          </w:p>
          <w:p>
            <w:r>
              <w:rPr>
                <w:color w:val="333333"/>
                <w:sz w:val="18"/>
                <w:szCs w:val="18"/>
              </w:rPr>
              <w:t xml:space="preserve">Where the adapter meets a condition the codebook does not cover, it must not invent a code and must not process the request. It parks it. An unactioned request is recoverable; a wrong rejection on the ledger is permanent.</w:t>
            </w:r>
          </w:p>
        </w:tc>
      </w:tr>
    </w:tbl>
    <w:p w14:paraId="43ADA311" w14:textId="77777777" w:rsidR="00D56334" w:rsidRDefault="00D56334">
      <w:pPr>
        <w:spacing w:after="60"/>
      </w:pPr>
    </w:p>
    <w:p w14:paraId="77559D76" w14:textId="77777777" w:rsidR="00D56334" w:rsidRDefault="00000000">
      <w:pPr>
        <w:pStyle w:val="Heading1"/>
        <w:spacing w:after="120"/>
      </w:pPr>
      <w:r>
        <w:t>Phase 4: Production Readiness</w:t>
      </w:r>
    </w:p>
    <w:p w14:paraId="2A86B35A" w14:textId="77777777" w:rsidR="00D56334" w:rsidRDefault="00000000">
      <w:pPr>
        <w:spacing w:after="120"/>
      </w:pPr>
      <w:r>
        <w:rPr>
          <w:color w:val="333333"/>
        </w:rPr>
        <w:t>Items required before MainNet deployment. Some can proceed in parallel with Phases 2 and 3.</w:t>
      </w:r>
    </w:p>
    <w:p w14:paraId="0C9B445D" w14:textId="77777777" w:rsidR="00D56334" w:rsidRDefault="00D56334">
      <w:pPr>
        <w:spacing w:after="60"/>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1200"/>
        <w:gridCol w:w="1200"/>
        <w:gridCol w:w="3154"/>
      </w:tblGrid>
      <w:tr w:rsidR="00D56334" w14:paraId="5BEF46BA" w14:textId="77777777">
        <w:tblPrEx>
          <w:tblCellMar>
            <w:top w:w="0" w:type="dxa"/>
            <w:bottom w:w="0" w:type="dxa"/>
          </w:tblCellMar>
        </w:tblPrEx>
        <w:tc>
          <w:tcPr>
            <w:tcW w:w="600" w:type="dxa"/>
            <w:tcBorders>
              <w:top w:val="single" w:sz="1" w:space="0" w:color="D0D4DC"/>
              <w:left w:val="single" w:sz="1" w:space="0" w:color="D0D4DC"/>
              <w:bottom w:val="single" w:sz="1" w:space="0" w:color="D0D4DC"/>
              <w:right w:val="single" w:sz="1" w:space="0" w:color="D0D4DC"/>
            </w:tcBorders>
            <w:shd w:val="clear" w:color="auto" w:fill="0D1E3A"/>
            <w:tcMar>
              <w:top w:w="80" w:type="dxa"/>
              <w:left w:w="120" w:type="dxa"/>
              <w:bottom w:w="80" w:type="dxa"/>
              <w:right w:w="120" w:type="dxa"/>
            </w:tcMar>
          </w:tcPr>
          <w:p w14:paraId="3B9A4DE5" w14:textId="77777777" w:rsidR="00D56334" w:rsidRDefault="00000000">
            <w:r>
              <w:rPr>
                <w:b/>
                <w:bCs/>
                <w:color w:val="FFFFFF"/>
                <w:sz w:val="18"/>
                <w:szCs w:val="18"/>
              </w:rPr>
              <w:t>#</w:t>
            </w:r>
          </w:p>
        </w:tc>
        <w:tc>
          <w:tcPr>
            <w:tcW w:w="3200" w:type="dxa"/>
            <w:tcBorders>
              <w:top w:val="single" w:sz="1" w:space="0" w:color="D0D4DC"/>
              <w:left w:val="single" w:sz="1" w:space="0" w:color="D0D4DC"/>
              <w:bottom w:val="single" w:sz="1" w:space="0" w:color="D0D4DC"/>
              <w:right w:val="single" w:sz="1" w:space="0" w:color="D0D4DC"/>
            </w:tcBorders>
            <w:shd w:val="clear" w:color="auto" w:fill="0D1E3A"/>
            <w:tcMar>
              <w:top w:w="80" w:type="dxa"/>
              <w:left w:w="120" w:type="dxa"/>
              <w:bottom w:w="80" w:type="dxa"/>
              <w:right w:w="120" w:type="dxa"/>
            </w:tcMar>
          </w:tcPr>
          <w:p w14:paraId="29AB272E" w14:textId="77777777" w:rsidR="00D56334" w:rsidRDefault="00000000">
            <w:r>
              <w:rPr>
                <w:b/>
                <w:bCs/>
                <w:color w:val="FFFFFF"/>
                <w:sz w:val="18"/>
                <w:szCs w:val="18"/>
              </w:rPr>
              <w:t>Action Item</w:t>
            </w:r>
          </w:p>
        </w:tc>
        <w:tc>
          <w:tcPr>
            <w:tcW w:w="1200" w:type="dxa"/>
            <w:tcBorders>
              <w:top w:val="single" w:sz="1" w:space="0" w:color="D0D4DC"/>
              <w:left w:val="single" w:sz="1" w:space="0" w:color="D0D4DC"/>
              <w:bottom w:val="single" w:sz="1" w:space="0" w:color="D0D4DC"/>
              <w:right w:val="single" w:sz="1" w:space="0" w:color="D0D4DC"/>
            </w:tcBorders>
            <w:shd w:val="clear" w:color="auto" w:fill="0D1E3A"/>
            <w:tcMar>
              <w:top w:w="80" w:type="dxa"/>
              <w:left w:w="120" w:type="dxa"/>
              <w:bottom w:w="80" w:type="dxa"/>
              <w:right w:w="120" w:type="dxa"/>
            </w:tcMar>
          </w:tcPr>
          <w:p w14:paraId="260AD326" w14:textId="77777777" w:rsidR="00D56334" w:rsidRDefault="00000000">
            <w:r>
              <w:rPr>
                <w:b/>
                <w:bCs/>
                <w:color w:val="FFFFFF"/>
                <w:sz w:val="18"/>
                <w:szCs w:val="18"/>
              </w:rPr>
              <w:t>Owner</w:t>
            </w:r>
          </w:p>
        </w:tc>
        <w:tc>
          <w:tcPr>
            <w:tcW w:w="1200" w:type="dxa"/>
            <w:tcBorders>
              <w:top w:val="single" w:sz="1" w:space="0" w:color="D0D4DC"/>
              <w:left w:val="single" w:sz="1" w:space="0" w:color="D0D4DC"/>
              <w:bottom w:val="single" w:sz="1" w:space="0" w:color="D0D4DC"/>
              <w:right w:val="single" w:sz="1" w:space="0" w:color="D0D4DC"/>
            </w:tcBorders>
            <w:shd w:val="clear" w:color="auto" w:fill="0D1E3A"/>
            <w:tcMar>
              <w:top w:w="80" w:type="dxa"/>
              <w:left w:w="120" w:type="dxa"/>
              <w:bottom w:w="80" w:type="dxa"/>
              <w:right w:w="120" w:type="dxa"/>
            </w:tcMar>
          </w:tcPr>
          <w:p w14:paraId="08531E91" w14:textId="77777777" w:rsidR="00D56334" w:rsidRDefault="00000000">
            <w:r>
              <w:rPr>
                <w:b/>
                <w:bCs/>
                <w:color w:val="FFFFFF"/>
                <w:sz w:val="18"/>
                <w:szCs w:val="18"/>
              </w:rPr>
              <w:t>Status</w:t>
            </w:r>
          </w:p>
        </w:tc>
        <w:tc>
          <w:tcPr>
            <w:tcW w:w="3154" w:type="dxa"/>
            <w:tcBorders>
              <w:top w:val="single" w:sz="1" w:space="0" w:color="D0D4DC"/>
              <w:left w:val="single" w:sz="1" w:space="0" w:color="D0D4DC"/>
              <w:bottom w:val="single" w:sz="1" w:space="0" w:color="D0D4DC"/>
              <w:right w:val="single" w:sz="1" w:space="0" w:color="D0D4DC"/>
            </w:tcBorders>
            <w:shd w:val="clear" w:color="auto" w:fill="0D1E3A"/>
            <w:tcMar>
              <w:top w:w="80" w:type="dxa"/>
              <w:left w:w="120" w:type="dxa"/>
              <w:bottom w:w="80" w:type="dxa"/>
              <w:right w:w="120" w:type="dxa"/>
            </w:tcMar>
          </w:tcPr>
          <w:p w14:paraId="77C85845" w14:textId="77777777" w:rsidR="00D56334" w:rsidRDefault="00000000">
            <w:r>
              <w:rPr>
                <w:b/>
                <w:bCs/>
                <w:color w:val="FFFFFF"/>
                <w:sz w:val="18"/>
                <w:szCs w:val="18"/>
              </w:rPr>
              <w:t>Notes</w:t>
            </w:r>
          </w:p>
        </w:tc>
      </w:tr>
      <w:tr w:rsidR="00D56334" w14:paraId="3A9B8748" w14:textId="77777777">
        <w:tblPrEx>
          <w:tblCellMar>
            <w:top w:w="0" w:type="dxa"/>
            <w:bottom w:w="0" w:type="dxa"/>
          </w:tblCellMar>
        </w:tblPrEx>
        <w:tc>
          <w:tcPr>
            <w:tcW w:w="6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05792A8F" w14:textId="77777777" w:rsidR="00D56334" w:rsidRDefault="00000000">
            <w:r>
              <w:rPr>
                <w:color w:val="333333"/>
                <w:sz w:val="18"/>
                <w:szCs w:val="18"/>
              </w:rPr>
              <w:t>01</w:t>
            </w:r>
          </w:p>
        </w:tc>
        <w:tc>
          <w:tcPr>
            <w:tcW w:w="32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14627363" w14:textId="77777777" w:rsidR="00D56334" w:rsidRDefault="00000000">
            <w:r>
              <w:rPr>
                <w:color w:val="333333"/>
                <w:sz w:val="18"/>
                <w:szCs w:val="18"/>
              </w:rPr>
              <w:t>Externalise rating table</w:t>
            </w:r>
          </w:p>
        </w:tc>
        <w:tc>
          <w:tcPr>
            <w:tcW w:w="12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1FF162BA" w14:textId="77777777" w:rsidR="00D56334" w:rsidRDefault="00000000">
            <w:r>
              <w:rPr>
                <w:color w:val="333333"/>
                <w:sz w:val="18"/>
                <w:szCs w:val="18"/>
              </w:rPr>
              <w:t>Rob</w:t>
            </w:r>
          </w:p>
        </w:tc>
        <w:tc>
          <w:tcPr>
            <w:tcW w:w="1200" w:type="dxa"/>
            <w:tcBorders>
              <w:top w:val="single" w:sz="1" w:space="0" w:color="D0D4DC"/>
              <w:left w:val="single" w:sz="1" w:space="0" w:color="D0D4DC"/>
              <w:bottom w:val="single" w:sz="1" w:space="0" w:color="D0D4DC"/>
              <w:right w:val="single" w:sz="1" w:space="0" w:color="D0D4DC"/>
            </w:tcBorders>
            <w:shd w:val="clear" w:color="auto" w:fill="FFEBEE"/>
            <w:tcMar>
              <w:top w:w="80" w:type="dxa"/>
              <w:left w:w="120" w:type="dxa"/>
              <w:bottom w:w="80" w:type="dxa"/>
              <w:right w:w="120" w:type="dxa"/>
            </w:tcMar>
          </w:tcPr>
          <w:p w14:paraId="0A65312C" w14:textId="77777777" w:rsidR="00D56334" w:rsidRDefault="00000000">
            <w:pPr>
              <w:jc w:val="center"/>
            </w:pPr>
            <w:r>
              <w:rPr>
                <w:b/>
                <w:bCs/>
                <w:color w:val="C62828"/>
                <w:sz w:val="18"/>
                <w:szCs w:val="18"/>
              </w:rPr>
              <w:t>NOT STARTED</w:t>
            </w:r>
          </w:p>
        </w:tc>
        <w:tc>
          <w:tcPr>
            <w:tcW w:w="3154"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671C0FEB" w14:textId="77777777" w:rsidR="00D56334" w:rsidRDefault="00000000">
            <w:r>
              <w:rPr>
                <w:color w:val="333333"/>
                <w:sz w:val="18"/>
                <w:szCs w:val="18"/>
              </w:rPr>
              <w:t xml:space="preserve">Known technical debt from IEU handover. Rating thresholds are currently hardcoded in the Daml contracts. Move to on-ledger or off-ledger configuration so rating changes do not require contract redeployment.</w:t>
            </w:r>
          </w:p>
        </w:tc>
      </w:tr>
      <w:tr w:rsidR="00D56334" w14:paraId="2ECFAEDB" w14:textId="77777777">
        <w:tblPrEx>
          <w:tblCellMar>
            <w:top w:w="0" w:type="dxa"/>
            <w:bottom w:w="0" w:type="dxa"/>
          </w:tblCellMar>
        </w:tblPrEx>
        <w:tc>
          <w:tcPr>
            <w:tcW w:w="600" w:type="dxa"/>
            <w:tcBorders>
              <w:top w:val="single" w:sz="1" w:space="0" w:color="D0D4DC"/>
              <w:left w:val="single" w:sz="1" w:space="0" w:color="D0D4DC"/>
              <w:bottom w:val="single" w:sz="1" w:space="0" w:color="D0D4DC"/>
              <w:right w:val="single" w:sz="1" w:space="0" w:color="D0D4DC"/>
            </w:tcBorders>
            <w:shd w:val="clear" w:color="auto" w:fill="F2F4F7"/>
            <w:tcMar>
              <w:top w:w="80" w:type="dxa"/>
              <w:left w:w="120" w:type="dxa"/>
              <w:bottom w:w="80" w:type="dxa"/>
              <w:right w:w="120" w:type="dxa"/>
            </w:tcMar>
          </w:tcPr>
          <w:p w14:paraId="7BA1B7FC" w14:textId="77777777" w:rsidR="00D56334" w:rsidRDefault="00000000">
            <w:r>
              <w:rPr>
                <w:color w:val="333333"/>
                <w:sz w:val="18"/>
                <w:szCs w:val="18"/>
              </w:rPr>
              <w:lastRenderedPageBreak/>
              <w:t>02</w:t>
            </w:r>
          </w:p>
        </w:tc>
        <w:tc>
          <w:tcPr>
            <w:tcW w:w="3200" w:type="dxa"/>
            <w:tcBorders>
              <w:top w:val="single" w:sz="1" w:space="0" w:color="D0D4DC"/>
              <w:left w:val="single" w:sz="1" w:space="0" w:color="D0D4DC"/>
              <w:bottom w:val="single" w:sz="1" w:space="0" w:color="D0D4DC"/>
              <w:right w:val="single" w:sz="1" w:space="0" w:color="D0D4DC"/>
            </w:tcBorders>
            <w:shd w:val="clear" w:color="auto" w:fill="F2F4F7"/>
            <w:tcMar>
              <w:top w:w="80" w:type="dxa"/>
              <w:left w:w="120" w:type="dxa"/>
              <w:bottom w:w="80" w:type="dxa"/>
              <w:right w:w="120" w:type="dxa"/>
            </w:tcMar>
          </w:tcPr>
          <w:p w14:paraId="061C2ECB" w14:textId="77777777" w:rsidR="00D56334" w:rsidRDefault="00000000">
            <w:r>
              <w:rPr>
                <w:color w:val="333333"/>
                <w:sz w:val="18"/>
                <w:szCs w:val="18"/>
              </w:rPr>
              <w:t>Implement production key management (HSM)</w:t>
            </w:r>
          </w:p>
        </w:tc>
        <w:tc>
          <w:tcPr>
            <w:tcW w:w="1200" w:type="dxa"/>
            <w:tcBorders>
              <w:top w:val="single" w:sz="1" w:space="0" w:color="D0D4DC"/>
              <w:left w:val="single" w:sz="1" w:space="0" w:color="D0D4DC"/>
              <w:bottom w:val="single" w:sz="1" w:space="0" w:color="D0D4DC"/>
              <w:right w:val="single" w:sz="1" w:space="0" w:color="D0D4DC"/>
            </w:tcBorders>
            <w:shd w:val="clear" w:color="auto" w:fill="F2F4F7"/>
            <w:tcMar>
              <w:top w:w="80" w:type="dxa"/>
              <w:left w:w="120" w:type="dxa"/>
              <w:bottom w:w="80" w:type="dxa"/>
              <w:right w:w="120" w:type="dxa"/>
            </w:tcMar>
          </w:tcPr>
          <w:p w14:paraId="023BD8F9" w14:textId="77777777" w:rsidR="00D56334" w:rsidRDefault="00000000">
            <w:r>
              <w:rPr>
                <w:color w:val="333333"/>
                <w:sz w:val="18"/>
                <w:szCs w:val="18"/>
              </w:rPr>
              <w:t>Rob</w:t>
            </w:r>
          </w:p>
        </w:tc>
        <w:tc>
          <w:tcPr>
            <w:tcW w:w="1200" w:type="dxa"/>
            <w:tcBorders>
              <w:top w:val="single" w:sz="1" w:space="0" w:color="D0D4DC"/>
              <w:left w:val="single" w:sz="1" w:space="0" w:color="D0D4DC"/>
              <w:bottom w:val="single" w:sz="1" w:space="0" w:color="D0D4DC"/>
              <w:right w:val="single" w:sz="1" w:space="0" w:color="D0D4DC"/>
            </w:tcBorders>
            <w:shd w:val="clear" w:color="auto" w:fill="F2F4F7"/>
            <w:tcMar>
              <w:top w:w="80" w:type="dxa"/>
              <w:left w:w="120" w:type="dxa"/>
              <w:bottom w:w="80" w:type="dxa"/>
              <w:right w:w="120" w:type="dxa"/>
            </w:tcMar>
          </w:tcPr>
          <w:p w14:paraId="4CFF76EA" w14:textId="77777777" w:rsidR="00D56334" w:rsidRDefault="00000000">
            <w:pPr>
              <w:jc w:val="center"/>
            </w:pPr>
            <w:r>
              <w:rPr>
                <w:b/>
                <w:bCs/>
                <w:color w:val="333333"/>
                <w:sz w:val="18"/>
                <w:szCs w:val="18"/>
              </w:rPr>
              <w:t>DEFERRED</w:t>
            </w:r>
          </w:p>
        </w:tc>
        <w:tc>
          <w:tcPr>
            <w:tcW w:w="3154" w:type="dxa"/>
            <w:tcBorders>
              <w:top w:val="single" w:sz="1" w:space="0" w:color="D0D4DC"/>
              <w:left w:val="single" w:sz="1" w:space="0" w:color="D0D4DC"/>
              <w:bottom w:val="single" w:sz="1" w:space="0" w:color="D0D4DC"/>
              <w:right w:val="single" w:sz="1" w:space="0" w:color="D0D4DC"/>
            </w:tcBorders>
            <w:shd w:val="clear" w:color="auto" w:fill="F2F4F7"/>
            <w:tcMar>
              <w:top w:w="80" w:type="dxa"/>
              <w:left w:w="120" w:type="dxa"/>
              <w:bottom w:w="80" w:type="dxa"/>
              <w:right w:w="120" w:type="dxa"/>
            </w:tcMar>
          </w:tcPr>
          <w:p w14:paraId="7F81BA29" w14:textId="77777777" w:rsidR="00D56334" w:rsidRDefault="00000000">
            <w:r>
              <w:rPr>
                <w:color w:val="333333"/>
                <w:sz w:val="18"/>
                <w:szCs w:val="18"/>
              </w:rPr>
              <w:t>PEM file storage acceptable for DevNet. MainNet requires HSM or managed key service (AWS KMS, Azure Key Vault, or Google Cloud KMS). Scope options before MainNet launch.</w:t>
            </w:r>
          </w:p>
          <w:p>
            <w:r>
              <w:rPr>
                <w:color w:val="333333"/>
                <w:sz w:val="18"/>
                <w:szCs w:val="18"/>
              </w:rPr>
              <w:t xml:space="preserve">Note added 12 July 2026. The AWS KMS option touches billing account 472151629788. Flag, do not action without confirmation.</w:t>
            </w:r>
          </w:p>
        </w:tc>
      </w:tr>
      <w:tr w:rsidR="00D56334" w14:paraId="7458EB9A" w14:textId="77777777">
        <w:tblPrEx>
          <w:tblCellMar>
            <w:top w:w="0" w:type="dxa"/>
            <w:bottom w:w="0" w:type="dxa"/>
          </w:tblCellMar>
        </w:tblPrEx>
        <w:tc>
          <w:tcPr>
            <w:tcW w:w="6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7073DA0D" w14:textId="77777777" w:rsidR="00D56334" w:rsidRDefault="00000000">
            <w:r>
              <w:rPr>
                <w:color w:val="333333"/>
                <w:sz w:val="18"/>
                <w:szCs w:val="18"/>
              </w:rPr>
              <w:t>03</w:t>
            </w:r>
          </w:p>
        </w:tc>
        <w:tc>
          <w:tcPr>
            <w:tcW w:w="32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27812467" w14:textId="77777777" w:rsidR="00D56334" w:rsidRDefault="00000000">
            <w:r>
              <w:rPr>
                <w:color w:val="333333"/>
                <w:sz w:val="18"/>
                <w:szCs w:val="18"/>
              </w:rPr>
              <w:t>Register MainNet Orchestrator</w:t>
            </w:r>
          </w:p>
        </w:tc>
        <w:tc>
          <w:tcPr>
            <w:tcW w:w="12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205E4AAD" w14:textId="77777777" w:rsidR="00D56334" w:rsidRDefault="00000000">
            <w:r>
              <w:rPr>
                <w:color w:val="333333"/>
                <w:sz w:val="18"/>
                <w:szCs w:val="18"/>
              </w:rPr>
              <w:t>Rob</w:t>
            </w:r>
          </w:p>
        </w:tc>
        <w:tc>
          <w:tcPr>
            <w:tcW w:w="1200" w:type="dxa"/>
            <w:tcBorders>
              <w:top w:val="single" w:sz="1" w:space="0" w:color="D0D4DC"/>
              <w:left w:val="single" w:sz="1" w:space="0" w:color="D0D4DC"/>
              <w:bottom w:val="single" w:sz="1" w:space="0" w:color="D0D4DC"/>
              <w:right w:val="single" w:sz="1" w:space="0" w:color="D0D4DC"/>
            </w:tcBorders>
            <w:shd w:val="clear" w:color="auto" w:fill="FFEBEE"/>
            <w:tcMar>
              <w:top w:w="80" w:type="dxa"/>
              <w:left w:w="120" w:type="dxa"/>
              <w:bottom w:w="80" w:type="dxa"/>
              <w:right w:w="120" w:type="dxa"/>
            </w:tcMar>
          </w:tcPr>
          <w:p w14:paraId="5C639EB8" w14:textId="77777777" w:rsidR="00D56334" w:rsidRDefault="00000000">
            <w:pPr>
              <w:jc w:val="center"/>
            </w:pPr>
            <w:r>
              <w:rPr>
                <w:b/>
                <w:bCs/>
                <w:color w:val="C62828"/>
                <w:sz w:val="18"/>
                <w:szCs w:val="18"/>
              </w:rPr>
              <w:t>NOT STARTED</w:t>
            </w:r>
          </w:p>
        </w:tc>
        <w:tc>
          <w:tcPr>
            <w:tcW w:w="3154"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74CCEACF" w14:textId="77777777" w:rsidR="00D56334" w:rsidRDefault="00000000">
            <w:r>
              <w:rPr>
                <w:color w:val="333333"/>
                <w:sz w:val="18"/>
                <w:szCs w:val="18"/>
              </w:rPr>
              <w:t xml:space="preserve">One-time CreateOrchestrator on MainNet with production keypair. Validator credentials issued via Catalyst platform. Treat as sensitive.</w:t>
            </w:r>
          </w:p>
        </w:tc>
      </w:tr>
      <w:tr w:rsidR="00D56334" w14:paraId="7299CF5E" w14:textId="77777777">
        <w:tblPrEx>
          <w:tblCellMar>
            <w:top w:w="0" w:type="dxa"/>
            <w:bottom w:w="0" w:type="dxa"/>
          </w:tblCellMar>
        </w:tblPrEx>
        <w:tc>
          <w:tcPr>
            <w:tcW w:w="600" w:type="dxa"/>
            <w:tcBorders>
              <w:top w:val="single" w:sz="1" w:space="0" w:color="D0D4DC"/>
              <w:left w:val="single" w:sz="1" w:space="0" w:color="D0D4DC"/>
              <w:bottom w:val="single" w:sz="1" w:space="0" w:color="D0D4DC"/>
              <w:right w:val="single" w:sz="1" w:space="0" w:color="D0D4DC"/>
            </w:tcBorders>
            <w:shd w:val="clear" w:color="auto" w:fill="F2F4F7"/>
            <w:tcMar>
              <w:top w:w="80" w:type="dxa"/>
              <w:left w:w="120" w:type="dxa"/>
              <w:bottom w:w="80" w:type="dxa"/>
              <w:right w:w="120" w:type="dxa"/>
            </w:tcMar>
          </w:tcPr>
          <w:p w14:paraId="12535C13" w14:textId="77777777" w:rsidR="00D56334" w:rsidRDefault="00000000">
            <w:r>
              <w:rPr>
                <w:color w:val="333333"/>
                <w:sz w:val="18"/>
                <w:szCs w:val="18"/>
              </w:rPr>
              <w:t>04</w:t>
            </w:r>
          </w:p>
        </w:tc>
        <w:tc>
          <w:tcPr>
            <w:tcW w:w="3200" w:type="dxa"/>
            <w:tcBorders>
              <w:top w:val="single" w:sz="1" w:space="0" w:color="D0D4DC"/>
              <w:left w:val="single" w:sz="1" w:space="0" w:color="D0D4DC"/>
              <w:bottom w:val="single" w:sz="1" w:space="0" w:color="D0D4DC"/>
              <w:right w:val="single" w:sz="1" w:space="0" w:color="D0D4DC"/>
            </w:tcBorders>
            <w:shd w:val="clear" w:color="auto" w:fill="F2F4F7"/>
            <w:tcMar>
              <w:top w:w="80" w:type="dxa"/>
              <w:left w:w="120" w:type="dxa"/>
              <w:bottom w:w="80" w:type="dxa"/>
              <w:right w:w="120" w:type="dxa"/>
            </w:tcMar>
          </w:tcPr>
          <w:p w14:paraId="22FFF263" w14:textId="77777777" w:rsidR="00D56334" w:rsidRDefault="00000000">
            <w:r>
              <w:rPr>
                <w:color w:val="333333"/>
                <w:sz w:val="18"/>
                <w:szCs w:val="18"/>
              </w:rPr>
              <w:t>Build monitoring and alerting</w:t>
            </w:r>
          </w:p>
        </w:tc>
        <w:tc>
          <w:tcPr>
            <w:tcW w:w="1200" w:type="dxa"/>
            <w:tcBorders>
              <w:top w:val="single" w:sz="1" w:space="0" w:color="D0D4DC"/>
              <w:left w:val="single" w:sz="1" w:space="0" w:color="D0D4DC"/>
              <w:bottom w:val="single" w:sz="1" w:space="0" w:color="D0D4DC"/>
              <w:right w:val="single" w:sz="1" w:space="0" w:color="D0D4DC"/>
            </w:tcBorders>
            <w:shd w:val="clear" w:color="auto" w:fill="F2F4F7"/>
            <w:tcMar>
              <w:top w:w="80" w:type="dxa"/>
              <w:left w:w="120" w:type="dxa"/>
              <w:bottom w:w="80" w:type="dxa"/>
              <w:right w:w="120" w:type="dxa"/>
            </w:tcMar>
          </w:tcPr>
          <w:p w14:paraId="50027D41" w14:textId="77777777" w:rsidR="00D56334" w:rsidRDefault="00000000">
            <w:r>
              <w:rPr>
                <w:color w:val="333333"/>
                <w:sz w:val="18"/>
                <w:szCs w:val="18"/>
              </w:rPr>
              <w:t>Rob</w:t>
            </w:r>
          </w:p>
        </w:tc>
        <w:tc>
          <w:tcPr>
            <w:tcW w:w="1200" w:type="dxa"/>
            <w:tcBorders>
              <w:top w:val="single" w:sz="1" w:space="0" w:color="D0D4DC"/>
              <w:left w:val="single" w:sz="1" w:space="0" w:color="D0D4DC"/>
              <w:bottom w:val="single" w:sz="1" w:space="0" w:color="D0D4DC"/>
              <w:right w:val="single" w:sz="1" w:space="0" w:color="D0D4DC"/>
            </w:tcBorders>
            <w:shd w:val="clear" w:color="auto" w:fill="FFEBEE"/>
            <w:tcMar>
              <w:top w:w="80" w:type="dxa"/>
              <w:left w:w="120" w:type="dxa"/>
              <w:bottom w:w="80" w:type="dxa"/>
              <w:right w:w="120" w:type="dxa"/>
            </w:tcMar>
          </w:tcPr>
          <w:p w14:paraId="0A8C16C9" w14:textId="77777777" w:rsidR="00D56334" w:rsidRDefault="00000000">
            <w:pPr>
              <w:jc w:val="center"/>
            </w:pPr>
            <w:r>
              <w:rPr>
                <w:b/>
                <w:bCs/>
                <w:color w:val="C62828"/>
                <w:sz w:val="18"/>
                <w:szCs w:val="18"/>
              </w:rPr>
              <w:t>NOT STARTED</w:t>
            </w:r>
          </w:p>
        </w:tc>
        <w:tc>
          <w:tcPr>
            <w:tcW w:w="3154" w:type="dxa"/>
            <w:tcBorders>
              <w:top w:val="single" w:sz="1" w:space="0" w:color="D0D4DC"/>
              <w:left w:val="single" w:sz="1" w:space="0" w:color="D0D4DC"/>
              <w:bottom w:val="single" w:sz="1" w:space="0" w:color="D0D4DC"/>
              <w:right w:val="single" w:sz="1" w:space="0" w:color="D0D4DC"/>
            </w:tcBorders>
            <w:shd w:val="clear" w:color="auto" w:fill="F2F4F7"/>
            <w:tcMar>
              <w:top w:w="80" w:type="dxa"/>
              <w:left w:w="120" w:type="dxa"/>
              <w:bottom w:w="80" w:type="dxa"/>
              <w:right w:w="120" w:type="dxa"/>
            </w:tcMar>
          </w:tcPr>
          <w:p w14:paraId="3B52CD46" w14:textId="77777777" w:rsidR="00D56334" w:rsidRDefault="00000000">
            <w:r>
              <w:rPr>
                <w:color w:val="333333"/>
                <w:sz w:val="18"/>
                <w:szCs w:val="18"/>
              </w:rPr>
              <w:t>Token expiry monitoring, attestation throughput, signature verification failure alerts, ledger offset tracking.</w:t>
            </w:r>
          </w:p>
        </w:tc>
      </w:tr>
      <w:tr w:rsidR="00D56334" w14:paraId="40F34D00" w14:textId="77777777">
        <w:tblPrEx>
          <w:tblCellMar>
            <w:top w:w="0" w:type="dxa"/>
            <w:bottom w:w="0" w:type="dxa"/>
          </w:tblCellMar>
        </w:tblPrEx>
        <w:tc>
          <w:tcPr>
            <w:tcW w:w="6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11B53A4B" w14:textId="77777777" w:rsidR="00D56334" w:rsidRDefault="00000000">
            <w:r>
              <w:rPr>
                <w:color w:val="333333"/>
                <w:sz w:val="18"/>
                <w:szCs w:val="18"/>
              </w:rPr>
              <w:t>05</w:t>
            </w:r>
          </w:p>
        </w:tc>
        <w:tc>
          <w:tcPr>
            <w:tcW w:w="32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708A0D5C" w14:textId="77777777" w:rsidR="00D56334" w:rsidRDefault="00000000">
            <w:r>
              <w:rPr>
                <w:color w:val="333333"/>
                <w:sz w:val="18"/>
                <w:szCs w:val="18"/>
              </w:rPr>
              <w:t>Documentation and runbook</w:t>
            </w:r>
          </w:p>
        </w:tc>
        <w:tc>
          <w:tcPr>
            <w:tcW w:w="12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7B2F7283" w14:textId="77777777" w:rsidR="00D56334" w:rsidRDefault="00000000">
            <w:r>
              <w:rPr>
                <w:color w:val="333333"/>
                <w:sz w:val="18"/>
                <w:szCs w:val="18"/>
              </w:rPr>
              <w:t>Rob</w:t>
            </w:r>
          </w:p>
        </w:tc>
        <w:tc>
          <w:tcPr>
            <w:tcW w:w="1200" w:type="dxa"/>
            <w:tcBorders>
              <w:top w:val="single" w:sz="1" w:space="0" w:color="D0D4DC"/>
              <w:left w:val="single" w:sz="1" w:space="0" w:color="D0D4DC"/>
              <w:bottom w:val="single" w:sz="1" w:space="0" w:color="D0D4DC"/>
              <w:right w:val="single" w:sz="1" w:space="0" w:color="D0D4DC"/>
            </w:tcBorders>
            <w:shd w:val="clear" w:color="auto" w:fill="FFEBEE"/>
            <w:tcMar>
              <w:top w:w="80" w:type="dxa"/>
              <w:left w:w="120" w:type="dxa"/>
              <w:bottom w:w="80" w:type="dxa"/>
              <w:right w:w="120" w:type="dxa"/>
            </w:tcMar>
          </w:tcPr>
          <w:p w14:paraId="6649019A" w14:textId="77777777" w:rsidR="00D56334" w:rsidRDefault="00000000">
            <w:pPr>
              <w:jc w:val="center"/>
            </w:pPr>
            <w:r>
              <w:rPr>
                <w:b/>
                <w:bCs/>
                <w:color w:val="C62828"/>
                <w:sz w:val="18"/>
                <w:szCs w:val="18"/>
              </w:rPr>
              <w:t>NOT STARTED</w:t>
            </w:r>
          </w:p>
        </w:tc>
        <w:tc>
          <w:tcPr>
            <w:tcW w:w="3154"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19CF4E15" w14:textId="77777777" w:rsidR="00D56334" w:rsidRDefault="00000000">
            <w:r>
              <w:rPr>
                <w:color w:val="333333"/>
                <w:sz w:val="18"/>
                <w:szCs w:val="18"/>
              </w:rPr>
              <w:t>Operational runbook covering key rotation, incident response, and environment-specific configuration. Update the five project documents to reflect final implementation.</w:t>
            </w:r>
          </w:p>
        </w:tc>
      </w:tr>
    </w:tbl>
    <w:p w14:paraId="50DDDCE1" w14:textId="77777777" w:rsidR="00D56334" w:rsidRDefault="00D56334">
      <w:pPr>
        <w:spacing w:after="60"/>
      </w:pPr>
    </w:p>
    <w:p w14:paraId="6A6F8272" w14:textId="77777777" w:rsidR="00D56334" w:rsidRDefault="00000000">
      <w:r>
        <w:br w:type="page"/>
      </w:r>
    </w:p>
    <w:p>
      <w:pPr>
        <w:pStyle w:val="Heading1"/>
      </w:pPr>
      <w:r>
        <w:t xml:space="preserve">Phase 5: Verification and Change Control</w:t>
      </w:r>
    </w:p>
    <w:p>
      <w:r>
        <w:rPr>
          <w:color w:val="333333"/>
          <w:sz w:val="20"/>
          <w:szCs w:val="20"/>
        </w:rPr>
        <w:t xml:space="preserve">This phase did not exist in the original plan. It was added on 12 July 2026 because building the adapter surfaced findings in the delivered contract that must be settled before further building is worthwhile, and because those findings must be taken to IntellectEU once, grounded in evidence, rather than in instalments of design opinion.</w:t>
      </w:r>
    </w:p>
    <w:p>
      <w:r>
        <w:rPr>
          <w:b/>
          <w:bCs/>
          <w:color w:val="0D1E3A"/>
          <w:sz w:val="20"/>
          <w:szCs w:val="20"/>
        </w:rPr>
        <w:t xml:space="preserve">Every finding to date came from reading the Daml, not from running it. That is the reason for item 01. Nothing is sent to IntellectEU until it is complete.</w:t>
      </w:r>
    </w:p>
    <w:tbl>
      <w:tblPr>
        <w:tblStyle w:val="TableGrid"/>
        <w:tblW w:w="8554" w:type="dxa"/>
        <w:tblLayout w:type="fixed"/>
        <w:tblLook w:val="04A0" w:firstRow="1" w:lastRow="0" w:firstColumn="1" w:lastColumn="0" w:noHBand="0" w:noVBand="1"/>
      </w:tblPr>
      <w:tblGrid>
        <w:gridCol w:w="600"/>
        <w:gridCol w:w="2400"/>
        <w:gridCol w:w="1200"/>
        <w:gridCol w:w="1200"/>
        <w:gridCol w:w="3154"/>
      </w:tblGrid>
      <w:tr>
        <w:tc>
          <w:tcPr>
            <w:tcW w:w="600" w:type="dxa"/>
            <w:tcBorders>
              <w:top w:val="single" w:sz="1" w:space="0" w:color="D0D4DC"/>
              <w:left w:val="single" w:sz="1" w:space="0" w:color="D0D4DC"/>
              <w:bottom w:val="single" w:sz="1" w:space="0" w:color="D0D4DC"/>
              <w:right w:val="single" w:sz="1" w:space="0" w:color="D0D4DC"/>
            </w:tcBorders>
            <w:shd w:val="clear" w:color="auto" w:fill="0D1E3A"/>
            <w:tcMar>
              <w:top w:w="80" w:type="dxa"/>
              <w:left w:w="120" w:type="dxa"/>
              <w:bottom w:w="80" w:type="dxa"/>
              <w:right w:w="120" w:type="dxa"/>
            </w:tcMar>
          </w:tcPr>
          <w:p>
            <w:r>
              <w:rPr>
                <w:b/>
                <w:bCs/>
                <w:color w:val="FFFFFF"/>
                <w:sz w:val="18"/>
                <w:szCs w:val="18"/>
              </w:rPr>
              <w:t xml:space="preserve">#</w:t>
            </w:r>
          </w:p>
        </w:tc>
        <w:tc>
          <w:tcPr>
            <w:tcW w:w="2400" w:type="dxa"/>
            <w:tcBorders>
              <w:top w:val="single" w:sz="1" w:space="0" w:color="D0D4DC"/>
              <w:left w:val="single" w:sz="1" w:space="0" w:color="D0D4DC"/>
              <w:bottom w:val="single" w:sz="1" w:space="0" w:color="D0D4DC"/>
              <w:right w:val="single" w:sz="1" w:space="0" w:color="D0D4DC"/>
            </w:tcBorders>
            <w:shd w:val="clear" w:color="auto" w:fill="0D1E3A"/>
            <w:tcMar>
              <w:top w:w="80" w:type="dxa"/>
              <w:left w:w="120" w:type="dxa"/>
              <w:bottom w:w="80" w:type="dxa"/>
              <w:right w:w="120" w:type="dxa"/>
            </w:tcMar>
          </w:tcPr>
          <w:p>
            <w:r>
              <w:rPr>
                <w:b/>
                <w:bCs/>
                <w:color w:val="FFFFFF"/>
                <w:sz w:val="18"/>
                <w:szCs w:val="18"/>
              </w:rPr>
              <w:t xml:space="preserve">Action Item</w:t>
            </w:r>
          </w:p>
        </w:tc>
        <w:tc>
          <w:tcPr>
            <w:tcW w:w="1200" w:type="dxa"/>
            <w:tcBorders>
              <w:top w:val="single" w:sz="1" w:space="0" w:color="D0D4DC"/>
              <w:left w:val="single" w:sz="1" w:space="0" w:color="D0D4DC"/>
              <w:bottom w:val="single" w:sz="1" w:space="0" w:color="D0D4DC"/>
              <w:right w:val="single" w:sz="1" w:space="0" w:color="D0D4DC"/>
            </w:tcBorders>
            <w:shd w:val="clear" w:color="auto" w:fill="0D1E3A"/>
            <w:tcMar>
              <w:top w:w="80" w:type="dxa"/>
              <w:left w:w="120" w:type="dxa"/>
              <w:bottom w:w="80" w:type="dxa"/>
              <w:right w:w="120" w:type="dxa"/>
            </w:tcMar>
          </w:tcPr>
          <w:p>
            <w:r>
              <w:rPr>
                <w:b/>
                <w:bCs/>
                <w:color w:val="FFFFFF"/>
                <w:sz w:val="18"/>
                <w:szCs w:val="18"/>
              </w:rPr>
              <w:t xml:space="preserve">Owner</w:t>
            </w:r>
          </w:p>
        </w:tc>
        <w:tc>
          <w:tcPr>
            <w:tcW w:w="1200" w:type="dxa"/>
            <w:tcBorders>
              <w:top w:val="single" w:sz="1" w:space="0" w:color="D0D4DC"/>
              <w:left w:val="single" w:sz="1" w:space="0" w:color="D0D4DC"/>
              <w:bottom w:val="single" w:sz="1" w:space="0" w:color="D0D4DC"/>
              <w:right w:val="single" w:sz="1" w:space="0" w:color="D0D4DC"/>
            </w:tcBorders>
            <w:shd w:val="clear" w:color="auto" w:fill="0D1E3A"/>
            <w:tcMar>
              <w:top w:w="80" w:type="dxa"/>
              <w:left w:w="120" w:type="dxa"/>
              <w:bottom w:w="80" w:type="dxa"/>
              <w:right w:w="120" w:type="dxa"/>
            </w:tcMar>
          </w:tcPr>
          <w:p>
            <w:r>
              <w:rPr>
                <w:b/>
                <w:bCs/>
                <w:color w:val="FFFFFF"/>
                <w:sz w:val="18"/>
                <w:szCs w:val="18"/>
              </w:rPr>
              <w:t xml:space="preserve">Status</w:t>
            </w:r>
          </w:p>
        </w:tc>
        <w:tc>
          <w:tcPr>
            <w:tcW w:w="3154" w:type="dxa"/>
            <w:tcBorders>
              <w:top w:val="single" w:sz="1" w:space="0" w:color="D0D4DC"/>
              <w:left w:val="single" w:sz="1" w:space="0" w:color="D0D4DC"/>
              <w:bottom w:val="single" w:sz="1" w:space="0" w:color="D0D4DC"/>
              <w:right w:val="single" w:sz="1" w:space="0" w:color="D0D4DC"/>
            </w:tcBorders>
            <w:shd w:val="clear" w:color="auto" w:fill="0D1E3A"/>
            <w:tcMar>
              <w:top w:w="80" w:type="dxa"/>
              <w:left w:w="120" w:type="dxa"/>
              <w:bottom w:w="80" w:type="dxa"/>
              <w:right w:w="120" w:type="dxa"/>
            </w:tcMar>
          </w:tcPr>
          <w:p>
            <w:r>
              <w:rPr>
                <w:b/>
                <w:bCs/>
                <w:color w:val="FFFFFF"/>
                <w:sz w:val="18"/>
                <w:szCs w:val="18"/>
              </w:rPr>
              <w:t xml:space="preserve">Notes</w:t>
            </w:r>
          </w:p>
        </w:tc>
      </w:tr>
      <w:tr>
        <w:tc>
          <w:tcPr>
            <w:tcW w:w="6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r>
              <w:rPr>
                <w:color w:val="333333"/>
                <w:sz w:val="18"/>
                <w:szCs w:val="18"/>
              </w:rPr>
              <w:t xml:space="preserve">01</w:t>
            </w:r>
          </w:p>
        </w:tc>
        <w:tc>
          <w:tcPr>
            <w:tcW w:w="24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r>
              <w:rPr>
                <w:color w:val="333333"/>
                <w:sz w:val="18"/>
                <w:szCs w:val="18"/>
              </w:rPr>
              <w:t xml:space="preserve">Run PoLi-VER-01 contract verification</w:t>
            </w:r>
          </w:p>
        </w:tc>
        <w:tc>
          <w:tcPr>
            <w:tcW w:w="12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r>
              <w:rPr>
                <w:color w:val="333333"/>
                <w:sz w:val="18"/>
                <w:szCs w:val="18"/>
              </w:rPr>
              <w:t xml:space="preserve">Rob</w:t>
            </w:r>
          </w:p>
        </w:tc>
        <w:tc>
          <w:tcPr>
            <w:tcW w:w="1200" w:type="dxa"/>
            <w:tcBorders>
              <w:top w:val="single" w:sz="1" w:space="0" w:color="D0D4DC"/>
              <w:left w:val="single" w:sz="1" w:space="0" w:color="D0D4DC"/>
              <w:bottom w:val="single" w:sz="1" w:space="0" w:color="D0D4DC"/>
              <w:right w:val="single" w:sz="1" w:space="0" w:color="D0D4DC"/>
            </w:tcBorders>
            <w:shd w:val="clear" w:color="auto" w:fill="FFF4E5"/>
            <w:tcMar>
              <w:top w:w="80" w:type="dxa"/>
              <w:left w:w="120" w:type="dxa"/>
              <w:bottom w:w="80" w:type="dxa"/>
              <w:right w:w="120" w:type="dxa"/>
            </w:tcMar>
          </w:tcPr>
          <w:p>
            <w:pPr>
              <w:jc w:val="center"/>
            </w:pPr>
            <w:r>
              <w:rPr>
                <w:b/>
                <w:bCs/>
                <w:color w:val="2E7D32"/>
                <w:sz w:val="18"/>
                <w:szCs w:val="18"/>
              </w:rPr>
              <w:t xml:space="preserve">COMPLETE</w:t>
            </w:r>
          </w:p>
        </w:tc>
        <w:tc>
          <w:tcPr>
            <w:tcW w:w="3154"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r>
              <w:rPr>
                <w:color w:val="333333"/>
                <w:sz w:val="18"/>
                <w:szCs w:val="18"/>
              </w:rPr>
              <w:t xml:space="preserve">COMPLETE, 12 July 2026. All 24 tests were run against the delivered contract. Four findings resulted, recorded in the Phase 3 Closure Record and in the standalone VER-08 and VER-16 finding papers. Findings 1 and 2 are HIGH and are properties of the same choice. Finding 1: key rotation destroys the entire attestation record, because the attestation carries no record of which key signed it and the verifier reads whatever key is registered now. Finding 2: only the consumer can verify an attestation; the Platform Operator that issued it and the Compliance Officer the contract explicitly models are both refused with DAML_AUTHORIZATION_ERROR. Finding 3 is a disclosure question on the Compliance Officer. Finding 4 is a low-severity rating guard defect. Consumer isolation was tested and HOLDS, which was the catastrophic-failure case. VER-21 established that the ledger enforces single-processing, which reshaped Phase 3 item 03.</w:t>
            </w:r>
          </w:p>
          <w:p>
            <w:r>
              <w:rPr>
                <w:color w:val="333333"/>
                <w:sz w:val="18"/>
                <w:szCs w:val="18"/>
              </w:rPr>
              <w:t xml:space="preserve">Section 4 of the plan is the one that matters and it has not been touched. VerifyAttestationValidity has only ever returned true. Stratalink's entire proposition rests on the claim that a PoLi attestation is verifiable. If the verifier cannot be made to return false, it is not verifying anything, and every attestation issued carries a guarantee that has never been shown to have teeth.</w:t>
            </w:r>
          </w:p>
          <w:p>
            <w:r>
              <w:rPr>
                <w:color w:val="333333"/>
                <w:sz w:val="18"/>
                <w:szCs w:val="18"/>
              </w:rPr>
              <w:t xml:space="preserve">VER-05 is the heavy one: alter each of the sixteen signed fields in turn and confirm the signature breaks each time. The field list came from reading VerifyValidity and has never been confirmed. Any field that can be changed without breaking the signature is not actually signed, whatever the Daml appears to say.</w:t>
            </w:r>
          </w:p>
          <w:p>
            <w:r>
              <w:rPr>
                <w:color w:val="333333"/>
                <w:sz w:val="18"/>
                <w:szCs w:val="18"/>
              </w:rPr>
              <w:t xml:space="preserve">VER-16 will settle the compliance officer disclosure question empirically. VER-19 will settle signingKeyId, and may make that question unnecessary altogether.</w:t>
            </w:r>
          </w:p>
          <w:p>
            <w:r>
              <w:rPr>
                <w:color w:val="333333"/>
                <w:sz w:val="18"/>
                <w:szCs w:val="18"/>
              </w:rPr>
              <w:t xml:space="preserve">Do not adjust a test to make it pass. A plan where everything passes has probably not tested anything.</w:t>
            </w:r>
          </w:p>
        </w:tc>
      </w:tr>
      <w:tr>
        <w:tc>
          <w:tcPr>
            <w:tcW w:w="6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r>
              <w:rPr>
                <w:color w:val="333333"/>
                <w:sz w:val="18"/>
                <w:szCs w:val="18"/>
              </w:rPr>
              <w:t xml:space="preserve">02</w:t>
            </w:r>
          </w:p>
        </w:tc>
        <w:tc>
          <w:tcPr>
            <w:tcW w:w="24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r>
              <w:rPr>
                <w:color w:val="333333"/>
                <w:sz w:val="18"/>
                <w:szCs w:val="18"/>
              </w:rPr>
              <w:t xml:space="preserve">Issue PoLi-CR-01 v2.3 to IntellectEU</w:t>
            </w:r>
          </w:p>
        </w:tc>
        <w:tc>
          <w:tcPr>
            <w:tcW w:w="12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r>
              <w:rPr>
                <w:color w:val="333333"/>
                <w:sz w:val="18"/>
                <w:szCs w:val="18"/>
              </w:rPr>
              <w:t xml:space="preserve">Rob</w:t>
            </w:r>
          </w:p>
        </w:tc>
        <w:tc>
          <w:tcPr>
            <w:tcW w:w="1200" w:type="dxa"/>
            <w:tcBorders>
              <w:top w:val="single" w:sz="1" w:space="0" w:color="D0D4DC"/>
              <w:left w:val="single" w:sz="1" w:space="0" w:color="D0D4DC"/>
              <w:bottom w:val="single" w:sz="1" w:space="0" w:color="D0D4DC"/>
              <w:right w:val="single" w:sz="1" w:space="0" w:color="D0D4DC"/>
            </w:tcBorders>
            <w:shd w:val="clear" w:color="auto" w:fill="F2F4F7"/>
            <w:tcMar>
              <w:top w:w="80" w:type="dxa"/>
              <w:left w:w="120" w:type="dxa"/>
              <w:bottom w:w="80" w:type="dxa"/>
              <w:right w:w="120" w:type="dxa"/>
            </w:tcMar>
          </w:tcPr>
          <w:p>
            <w:pPr>
              <w:jc w:val="center"/>
            </w:pPr>
            <w:r>
              <w:rPr>
                <w:b/>
                <w:bCs/>
                <w:color w:val="333333"/>
                <w:sz w:val="18"/>
                <w:szCs w:val="18"/>
              </w:rPr>
              <w:t xml:space="preserve">REFRAMED</w:t>
            </w:r>
          </w:p>
        </w:tc>
        <w:tc>
          <w:tcPr>
            <w:tcW w:w="3154"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r>
              <w:rPr>
                <w:color w:val="333333"/>
                <w:sz w:val="18"/>
                <w:szCs w:val="18"/>
              </w:rPr>
              <w:t xml:space="preserve">REFRAMED, 13 July 2026. Item 01 is complete and the verification changed what this document should be. PoLi-CR-01 v2.3 as drafted groups defects together with change requests. It must be split before it is sent. Findings 1 and 2 are non-conformities against the Amendment A4 Acceptance Criteria and are pursued under Amendment A8 as a defect notice, at IntellectEU cost. Findings 3 and 4, together with the four provenance fields, remain a change request. See Phase 6. The four fields proposed for PoLiAttestation, all appended to the signed payload, are observationType, venueSet, modelVersion and requestCreatedAt.</w:t>
            </w:r>
          </w:p>
          <w:p>
            <w:r>
              <w:rPr>
                <w:color w:val="333333"/>
                <w:sz w:val="18"/>
                <w:szCs w:val="18"/>
              </w:rPr>
              <w:t xml:space="preserve">They are one argument, not four asks. The attestation records a number but not the circumstances under which the number was produced: whether the depth was observed or derived, which venues informed it, which model computed it, and how long the request had been waiting.</w:t>
            </w:r>
          </w:p>
          <w:p>
            <w:r>
              <w:rPr>
                <w:color w:val="333333"/>
                <w:sz w:val="18"/>
                <w:szCs w:val="18"/>
              </w:rPr>
              <w:t xml:space="preserve">The cost of the gap is measurable. Eight of thirty-four covered symbols are currently unattestable, comprising the entire tokenized securities class: ACRED, BCSPX, BENJI, BIB01, BUIDL, OUSG, USDY, VBILL. Stratalink observes these assets and can score them. It will not attest them while doing so would present synthetic depth as observed depth.</w:t>
            </w:r>
          </w:p>
          <w:p>
            <w:r>
              <w:rPr>
                <w:color w:val="333333"/>
                <w:sz w:val="18"/>
                <w:szCs w:val="18"/>
              </w:rPr>
              <w:t xml:space="preserve">The document also raises, without yet asking for, the five-factor flattening described in Phase 2 item 05.</w:t>
            </w:r>
          </w:p>
          <w:p>
            <w:r>
              <w:rPr>
                <w:color w:val="333333"/>
                <w:sz w:val="18"/>
                <w:szCs w:val="18"/>
              </w:rPr>
              <w:t xml:space="preserve">Copy Paula Costa. If this generates work it lands in her delivery scope, and it is scope beyond SOW #USGTC 20260010.</w:t>
            </w:r>
          </w:p>
        </w:tc>
      </w:tr>
      <w:tr>
        <w:tc>
          <w:tcPr>
            <w:tcW w:w="6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r>
              <w:rPr>
                <w:color w:val="333333"/>
                <w:sz w:val="18"/>
                <w:szCs w:val="18"/>
              </w:rPr>
              <w:t xml:space="preserve">03</w:t>
            </w:r>
          </w:p>
        </w:tc>
        <w:tc>
          <w:tcPr>
            <w:tcW w:w="24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r>
              <w:rPr>
                <w:color w:val="333333"/>
                <w:sz w:val="18"/>
                <w:szCs w:val="18"/>
              </w:rPr>
              <w:t xml:space="preserve">Replace DACT coverage config with a live query</w:t>
            </w:r>
          </w:p>
        </w:tc>
        <w:tc>
          <w:tcPr>
            <w:tcW w:w="12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r>
              <w:rPr>
                <w:color w:val="333333"/>
                <w:sz w:val="18"/>
                <w:szCs w:val="18"/>
              </w:rPr>
              <w:t xml:space="preserve">Rob</w:t>
            </w:r>
          </w:p>
        </w:tc>
        <w:tc>
          <w:tcPr>
            <w:tcW w:w="1200" w:type="dxa"/>
            <w:tcBorders>
              <w:top w:val="single" w:sz="1" w:space="0" w:color="D0D4DC"/>
              <w:left w:val="single" w:sz="1" w:space="0" w:color="D0D4DC"/>
              <w:bottom w:val="single" w:sz="1" w:space="0" w:color="D0D4DC"/>
              <w:right w:val="single" w:sz="1" w:space="0" w:color="D0D4DC"/>
            </w:tcBorders>
            <w:shd w:val="clear" w:color="auto" w:fill="FFEBEE"/>
            <w:tcMar>
              <w:top w:w="80" w:type="dxa"/>
              <w:left w:w="120" w:type="dxa"/>
              <w:bottom w:w="80" w:type="dxa"/>
              <w:right w:w="120" w:type="dxa"/>
            </w:tcMar>
          </w:tcPr>
          <w:p>
            <w:pPr>
              <w:jc w:val="center"/>
            </w:pPr>
            <w:r>
              <w:rPr>
                <w:b/>
                <w:bCs/>
                <w:color w:val="C62828"/>
                <w:sz w:val="18"/>
                <w:szCs w:val="18"/>
              </w:rPr>
              <w:t xml:space="preserve">NOT STARTED</w:t>
            </w:r>
          </w:p>
        </w:tc>
        <w:tc>
          <w:tcPr>
            <w:tcW w:w="3154"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r>
              <w:rPr>
                <w:color w:val="333333"/>
                <w:sz w:val="18"/>
                <w:szCs w:val="18"/>
              </w:rPr>
              <w:t xml:space="preserve">config/coverage.json is transcribed by hand from the DACT coverage table as at 11 July 2026: 26 venues, 34 symbols, all USD-quoted. It will drift.</w:t>
            </w:r>
          </w:p>
          <w:p>
            <w:r>
              <w:rPr>
                <w:color w:val="333333"/>
                <w:sz w:val="18"/>
                <w:szCs w:val="18"/>
              </w:rPr>
              <w:t xml:space="preserve">The CoverageProvider interface does not change when this is replaced. Only the source does. That was the point of the abstraction.</w:t>
            </w:r>
          </w:p>
          <w:p>
            <w:r>
              <w:rPr>
                <w:color w:val="333333"/>
                <w:sz w:val="18"/>
                <w:szCs w:val="18"/>
              </w:rPr>
              <w:t xml:space="preserve">Note that the config IS the policy. A typo in it is a policy change, and DactCoverageProvider throws on a missing file rather than defaulting to empty coverage, because empty coverage would reject every request as outside the universe.</w:t>
            </w:r>
          </w:p>
        </w:tc>
      </w:tr>
      <w:tr>
        <w:tc>
          <w:tcPr>
            <w:tcW w:w="6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r>
              <w:rPr>
                <w:color w:val="333333"/>
                <w:sz w:val="18"/>
                <w:szCs w:val="18"/>
              </w:rPr>
              <w:t xml:space="preserve">04</w:t>
            </w:r>
          </w:p>
        </w:tc>
        <w:tc>
          <w:tcPr>
            <w:tcW w:w="24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r>
              <w:rPr>
                <w:color w:val="333333"/>
                <w:sz w:val="18"/>
                <w:szCs w:val="18"/>
              </w:rPr>
              <w:t xml:space="preserve">Specify the consumer entitlement model</w:t>
            </w:r>
          </w:p>
        </w:tc>
        <w:tc>
          <w:tcPr>
            <w:tcW w:w="12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r>
              <w:rPr>
                <w:color w:val="333333"/>
                <w:sz w:val="18"/>
                <w:szCs w:val="18"/>
              </w:rPr>
              <w:t xml:space="preserve">Rob</w:t>
            </w:r>
          </w:p>
        </w:tc>
        <w:tc>
          <w:tcPr>
            <w:tcW w:w="1200" w:type="dxa"/>
            <w:tcBorders>
              <w:top w:val="single" w:sz="1" w:space="0" w:color="D0D4DC"/>
              <w:left w:val="single" w:sz="1" w:space="0" w:color="D0D4DC"/>
              <w:bottom w:val="single" w:sz="1" w:space="0" w:color="D0D4DC"/>
              <w:right w:val="single" w:sz="1" w:space="0" w:color="D0D4DC"/>
            </w:tcBorders>
            <w:shd w:val="clear" w:color="auto" w:fill="FFEBEE"/>
            <w:tcMar>
              <w:top w:w="80" w:type="dxa"/>
              <w:left w:w="120" w:type="dxa"/>
              <w:bottom w:w="80" w:type="dxa"/>
              <w:right w:w="120" w:type="dxa"/>
            </w:tcMar>
          </w:tcPr>
          <w:p>
            <w:pPr>
              <w:jc w:val="center"/>
            </w:pPr>
            <w:r>
              <w:rPr>
                <w:b/>
                <w:bCs/>
                <w:color w:val="C62828"/>
                <w:sz w:val="18"/>
                <w:szCs w:val="18"/>
              </w:rPr>
              <w:t xml:space="preserve">NOT STARTED</w:t>
            </w:r>
          </w:p>
        </w:tc>
        <w:tc>
          <w:tcPr>
            <w:tcW w:w="3154"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r>
              <w:rPr>
                <w:color w:val="333333"/>
                <w:sz w:val="18"/>
                <w:szCs w:val="18"/>
              </w:rPr>
              <w:t xml:space="preserve">POLI-REJ-002, consumer not authorised, is dormant. PermissiveAuthorisationProvider authorises everyone.</w:t>
            </w:r>
          </w:p>
          <w:p>
            <w:r>
              <w:rPr>
                <w:color w:val="333333"/>
                <w:sz w:val="18"/>
                <w:szCs w:val="18"/>
              </w:rPr>
              <w:t xml:space="preserve">The model determining which consumers may request attestation for which pairs has not been specified. It is a commercial and regulatory question rather than a technical one, and it bears on the RCL.</w:t>
            </w:r>
          </w:p>
          <w:p>
            <w:r>
              <w:rPr>
                <w:color w:val="333333"/>
                <w:sz w:val="18"/>
                <w:szCs w:val="18"/>
              </w:rPr>
              <w:t xml:space="preserve">The AuthorisationProvider interface exists so the answer slots in without a refactor.</w:t>
            </w:r>
          </w:p>
        </w:tc>
      </w:tr>
    </w:tbl>
    <w:p>
      <w:pPr>
        <w:pStyle w:val="Heading1"/>
        <w:spacing w:after="120"/>
      </w:pPr>
      <w:r>
        <w:t xml:space="preserve">Phase 6: Contractual Position</w:t>
      </w:r>
    </w:p>
    <w:p>
      <w:pPr>
        <w:spacing w:after="120"/>
      </w:pPr>
      <w:r>
        <w:rPr>
          <w:sz w:val="21"/>
          <w:szCs w:val="21"/>
        </w:rPr>
        <w:t xml:space="preserve">This phase was added on 13 July 2026 following a review of SOW #USGTC 20260010 (£38,660) as signed. It exists because two of the four PoLi-VER-01 findings are properties of the delivered contract rather than requests for new functionality, and the route by which they are pursued materially changes what Stratalink is owed.</w:t>
      </w:r>
    </w:p>
    <w:p>
      <w:pPr>
        <w:spacing w:after="120"/>
      </w:pPr>
      <w:r>
        <w:rPr>
          <w:b/>
          <w:bCs/>
          <w:sz w:val="21"/>
          <w:szCs w:val="21"/>
        </w:rPr>
        <w:t xml:space="preserve">The previously open question was whether the fifteen-day warranty window had closed. That question is now largely displaced. Amendment A8 carries no expiry.</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000"/>
        <w:gridCol w:w="7360"/>
      </w:tblGrid>
      <w:tr>
        <w:trPr>
          <w:tblHeader/>
        </w:trPr>
        <w:tc>
          <w:tcPr>
            <w:tcW w:w="2000" w:type="dxa"/>
            <w:shd w:val="clear" w:color="auto" w:fill="DCE6F1"/>
            <w:tcMar>
              <w:top w:w="80" w:type="dxa"/>
              <w:left w:w="120" w:type="dxa"/>
              <w:bottom w:w="80" w:type="dxa"/>
              <w:right w:w="120" w:type="dxa"/>
            </w:tcMar>
          </w:tcPr>
          <w:p>
            <w:r>
              <w:rPr>
                <w:b/>
                <w:bCs/>
                <w:sz w:val="18"/>
                <w:szCs w:val="18"/>
              </w:rPr>
              <w:t xml:space="preserve">Provision</w:t>
            </w:r>
          </w:p>
        </w:tc>
        <w:tc>
          <w:tcPr>
            <w:tcW w:w="7360" w:type="dxa"/>
            <w:shd w:val="clear" w:color="auto" w:fill="DCE6F1"/>
            <w:tcMar>
              <w:top w:w="80" w:type="dxa"/>
              <w:left w:w="120" w:type="dxa"/>
              <w:bottom w:w="80" w:type="dxa"/>
              <w:right w:w="120" w:type="dxa"/>
            </w:tcMar>
          </w:tcPr>
          <w:p>
            <w:r>
              <w:rPr>
                <w:b/>
                <w:bCs/>
                <w:sz w:val="18"/>
                <w:szCs w:val="18"/>
              </w:rPr>
              <w:t xml:space="preserve">Position</w:t>
            </w:r>
          </w:p>
        </w:tc>
      </w:tr>
      <w:tr>
        <w:tc>
          <w:tcPr>
            <w:tcW w:w="2000" w:type="dxa"/>
            <w:tcMar>
              <w:top w:w="80" w:type="dxa"/>
              <w:left w:w="120" w:type="dxa"/>
              <w:bottom w:w="80" w:type="dxa"/>
              <w:right w:w="120" w:type="dxa"/>
            </w:tcMar>
          </w:tcPr>
          <w:p>
            <w:r>
              <w:rPr>
                <w:sz w:val="18"/>
                <w:szCs w:val="18"/>
              </w:rPr>
              <w:t xml:space="preserve">Warranty (SOW)</w:t>
            </w:r>
          </w:p>
        </w:tc>
        <w:tc>
          <w:tcPr>
            <w:tcW w:w="7360" w:type="dxa"/>
            <w:tcMar>
              <w:top w:w="80" w:type="dxa"/>
              <w:left w:w="120" w:type="dxa"/>
              <w:bottom w:w="80" w:type="dxa"/>
              <w:right w:w="120" w:type="dxa"/>
            </w:tcMar>
          </w:tcPr>
          <w:p>
            <w:r>
              <w:rPr>
                <w:sz w:val="18"/>
                <w:szCs w:val="18"/>
              </w:rPr>
              <w:t xml:space="preserve">Fifteen days from delivery, on a commercially reasonable efforts standard. The weaker route, and likely lapsed.</w:t>
            </w:r>
          </w:p>
        </w:tc>
      </w:tr>
      <w:tr>
        <w:tc>
          <w:tcPr>
            <w:tcW w:w="2000" w:type="dxa"/>
            <w:tcMar>
              <w:top w:w="80" w:type="dxa"/>
              <w:left w:w="120" w:type="dxa"/>
              <w:bottom w:w="80" w:type="dxa"/>
              <w:right w:w="120" w:type="dxa"/>
            </w:tcMar>
          </w:tcPr>
          <w:p>
            <w:r>
              <w:rPr>
                <w:sz w:val="18"/>
                <w:szCs w:val="18"/>
              </w:rPr>
              <w:t xml:space="preserve">GTC Clause 8</w:t>
            </w:r>
          </w:p>
        </w:tc>
        <w:tc>
          <w:tcPr>
            <w:tcW w:w="7360" w:type="dxa"/>
            <w:tcMar>
              <w:top w:w="80" w:type="dxa"/>
              <w:left w:w="120" w:type="dxa"/>
              <w:bottom w:w="80" w:type="dxa"/>
              <w:right w:w="120" w:type="dxa"/>
            </w:tcMar>
          </w:tcPr>
          <w:p>
            <w:r>
              <w:rPr>
                <w:sz w:val="18"/>
                <w:szCs w:val="18"/>
              </w:rPr>
              <w:t xml:space="preserve">Deemed acceptance ten business days after receipt. Cuts against Stratalink. Countered by the fact that Amendment A4 is a special term agreed between the Parties and prevails over the GTC under GTC Clause 1.</w:t>
            </w:r>
          </w:p>
        </w:tc>
      </w:tr>
      <w:tr>
        <w:tc>
          <w:tcPr>
            <w:tcW w:w="2000" w:type="dxa"/>
            <w:tcMar>
              <w:top w:w="80" w:type="dxa"/>
              <w:left w:w="120" w:type="dxa"/>
              <w:bottom w:w="80" w:type="dxa"/>
              <w:right w:w="120" w:type="dxa"/>
            </w:tcMar>
          </w:tcPr>
          <w:p>
            <w:r>
              <w:rPr>
                <w:sz w:val="18"/>
                <w:szCs w:val="18"/>
              </w:rPr>
              <w:t xml:space="preserve">Amendment A4</w:t>
            </w:r>
          </w:p>
        </w:tc>
        <w:tc>
          <w:tcPr>
            <w:tcW w:w="7360" w:type="dxa"/>
            <w:tcMar>
              <w:top w:w="80" w:type="dxa"/>
              <w:left w:w="120" w:type="dxa"/>
              <w:bottom w:w="80" w:type="dxa"/>
              <w:right w:w="120" w:type="dxa"/>
            </w:tcMar>
          </w:tcPr>
          <w:p>
            <w:r>
              <w:rPr>
                <w:sz w:val="18"/>
                <w:szCs w:val="18"/>
              </w:rPr>
              <w:t xml:space="preserve">Acceptance Criteria. Requires at (c) an Attestation contract containing a valid cryptographic signature, and at (d) successful consumer exercise of the on-ledger verification choice.</w:t>
            </w:r>
          </w:p>
        </w:tc>
      </w:tr>
      <w:tr>
        <w:tc>
          <w:tcPr>
            <w:tcW w:w="2000" w:type="dxa"/>
            <w:tcMar>
              <w:top w:w="80" w:type="dxa"/>
              <w:left w:w="120" w:type="dxa"/>
              <w:bottom w:w="80" w:type="dxa"/>
              <w:right w:w="120" w:type="dxa"/>
            </w:tcMar>
          </w:tcPr>
          <w:p>
            <w:r>
              <w:rPr>
                <w:sz w:val="18"/>
                <w:szCs w:val="18"/>
              </w:rPr>
              <w:t xml:space="preserve">Amendment A8</w:t>
            </w:r>
          </w:p>
        </w:tc>
        <w:tc>
          <w:tcPr>
            <w:tcW w:w="7360" w:type="dxa"/>
            <w:tcMar>
              <w:top w:w="80" w:type="dxa"/>
              <w:left w:w="120" w:type="dxa"/>
              <w:bottom w:w="80" w:type="dxa"/>
              <w:right w:w="120" w:type="dxa"/>
            </w:tcMar>
          </w:tcPr>
          <w:p>
            <w:r>
              <w:rPr>
                <w:sz w:val="18"/>
                <w:szCs w:val="18"/>
              </w:rPr>
              <w:t xml:space="preserve">Outcome-Based Delivery and Remediation. Overrides the commercially reasonable efforts standard for the PoLi Daml Contract Codebase specifically. IntellectEU is obliged to deliver in a condition satisfying Amendment A4. Three remediation attempts, then material breach and termination without penalty. No expiry attached.</w:t>
            </w:r>
          </w:p>
        </w:tc>
      </w:tr>
      <w:tr>
        <w:tc>
          <w:tcPr>
            <w:tcW w:w="2000" w:type="dxa"/>
            <w:tcMar>
              <w:top w:w="80" w:type="dxa"/>
              <w:left w:w="120" w:type="dxa"/>
              <w:bottom w:w="80" w:type="dxa"/>
              <w:right w:w="120" w:type="dxa"/>
            </w:tcMar>
          </w:tcPr>
          <w:p>
            <w:r>
              <w:rPr>
                <w:sz w:val="18"/>
                <w:szCs w:val="18"/>
              </w:rPr>
              <w:t xml:space="preserve">Expiration Date</w:t>
            </w:r>
          </w:p>
        </w:tc>
        <w:tc>
          <w:tcPr>
            <w:tcW w:w="7360" w:type="dxa"/>
            <w:tcMar>
              <w:top w:w="80" w:type="dxa"/>
              <w:left w:w="120" w:type="dxa"/>
              <w:bottom w:w="80" w:type="dxa"/>
              <w:right w:w="120" w:type="dxa"/>
            </w:tcMar>
          </w:tcPr>
          <w:p>
            <w:r>
              <w:rPr>
                <w:sz w:val="18"/>
                <w:szCs w:val="18"/>
              </w:rPr>
              <w:t xml:space="preserve">23 July 2026.</w:t>
            </w:r>
          </w:p>
        </w:tc>
      </w:tr>
    </w:tbl>
    <w:p>
      <w:pPr>
        <w:spacing w:after="120"/>
      </w:pPr>
      <w:r>
        <w:rPr>
          <w:sz w:val="21"/>
          <w:szCs w:val="21"/>
        </w:rPr>
        <w:t xml:space="preserve"/>
      </w:r>
    </w:p>
    <w:p>
      <w:pPr>
        <w:spacing w:after="120"/>
      </w:pPr>
      <w:r>
        <w:rPr>
          <w:sz w:val="21"/>
          <w:szCs w:val="21"/>
        </w:rPr>
        <w:t xml:space="preserve">Findings 1 and 2 will be pursued under Amendment A8 against the Amendment A4 Acceptance Criteria, not under the warranty clause. Finding 1 carries the stronger argument: an attestation whose signature ceases to verify after a routine operational event does not satisfy Amendment A4(c) in any durable sense. Finding 2 is weaker against A4 read narrowly, because the consumer can verify, which is what A4(d) requires on its face. It remains a defect in fitness for the purpose the SOW states.</w:t>
      </w:r>
    </w:p>
    <w:p>
      <w:pPr>
        <w:spacing w:after="120"/>
      </w:pPr>
      <w:r>
        <w:rPr>
          <w:b/>
          <w:bCs/>
          <w:sz w:val="21"/>
          <w:szCs w:val="21"/>
        </w:rPr>
        <w:t xml:space="preserve">Defects must be communicated separately from change requests. Grouping them invites the vendor to treat defect remediation as chargeable scope.</w:t>
      </w:r>
    </w:p>
    <w:p>
      <w:pPr>
        <w:spacing w:after="120"/>
      </w:pPr>
      <w:r>
        <w:rPr>
          <w:b/>
          <w:bCs/>
          <w:sz w:val="21"/>
          <w:szCs w:val="21"/>
        </w:rPr>
        <w:t xml:space="preserve">Stratalink will not modify the Daml itself. Whoever’s package hash is on MainNet is the party attesting. A self-modification would transfer ownership of the attestation layer from IntellectEU to Stratalink, materially weaken the regulatory position, and place any future merge conflict in the signed payload structure.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700"/>
        <w:gridCol w:w="3400"/>
        <w:gridCol w:w="5260"/>
      </w:tblGrid>
      <w:tr>
        <w:trPr>
          <w:tblHeader/>
        </w:trPr>
        <w:tc>
          <w:tcPr>
            <w:tcW w:w="700" w:type="dxa"/>
            <w:shd w:val="clear" w:color="auto" w:fill="DCE6F1"/>
            <w:tcMar>
              <w:top w:w="80" w:type="dxa"/>
              <w:left w:w="120" w:type="dxa"/>
              <w:bottom w:w="80" w:type="dxa"/>
              <w:right w:w="120" w:type="dxa"/>
            </w:tcMar>
          </w:tcPr>
          <w:p>
            <w:r>
              <w:rPr>
                <w:b/>
                <w:bCs/>
                <w:sz w:val="18"/>
                <w:szCs w:val="18"/>
              </w:rPr>
              <w:t xml:space="preserve">#</w:t>
            </w:r>
          </w:p>
        </w:tc>
        <w:tc>
          <w:tcPr>
            <w:tcW w:w="3400" w:type="dxa"/>
            <w:shd w:val="clear" w:color="auto" w:fill="DCE6F1"/>
            <w:tcMar>
              <w:top w:w="80" w:type="dxa"/>
              <w:left w:w="120" w:type="dxa"/>
              <w:bottom w:w="80" w:type="dxa"/>
              <w:right w:w="120" w:type="dxa"/>
            </w:tcMar>
          </w:tcPr>
          <w:p>
            <w:r>
              <w:rPr>
                <w:b/>
                <w:bCs/>
                <w:sz w:val="18"/>
                <w:szCs w:val="18"/>
              </w:rPr>
              <w:t xml:space="preserve">Action Item</w:t>
            </w:r>
          </w:p>
        </w:tc>
        <w:tc>
          <w:tcPr>
            <w:tcW w:w="5260" w:type="dxa"/>
            <w:shd w:val="clear" w:color="auto" w:fill="DCE6F1"/>
            <w:tcMar>
              <w:top w:w="80" w:type="dxa"/>
              <w:left w:w="120" w:type="dxa"/>
              <w:bottom w:w="80" w:type="dxa"/>
              <w:right w:w="120" w:type="dxa"/>
            </w:tcMar>
          </w:tcPr>
          <w:p>
            <w:r>
              <w:rPr>
                <w:b/>
                <w:bCs/>
                <w:sz w:val="18"/>
                <w:szCs w:val="18"/>
              </w:rPr>
              <w:t xml:space="preserve">Notes</w:t>
            </w:r>
          </w:p>
        </w:tc>
      </w:tr>
      <w:tr>
        <w:tc>
          <w:tcPr>
            <w:tcW w:w="700" w:type="dxa"/>
            <w:tcMar>
              <w:top w:w="80" w:type="dxa"/>
              <w:left w:w="120" w:type="dxa"/>
              <w:bottom w:w="80" w:type="dxa"/>
              <w:right w:w="120" w:type="dxa"/>
            </w:tcMar>
          </w:tcPr>
          <w:p>
            <w:r>
              <w:rPr>
                <w:sz w:val="18"/>
                <w:szCs w:val="18"/>
              </w:rPr>
              <w:t xml:space="preserve">01</w:t>
            </w:r>
          </w:p>
        </w:tc>
        <w:tc>
          <w:tcPr>
            <w:tcW w:w="3400" w:type="dxa"/>
            <w:tcMar>
              <w:top w:w="80" w:type="dxa"/>
              <w:left w:w="120" w:type="dxa"/>
              <w:bottom w:w="80" w:type="dxa"/>
              <w:right w:w="120" w:type="dxa"/>
            </w:tcMar>
          </w:tcPr>
          <w:p>
            <w:r>
              <w:rPr>
                <w:sz w:val="18"/>
                <w:szCs w:val="18"/>
              </w:rPr>
              <w:t xml:space="preserve">Establish the delivery date of the PoLi Daml Contract Codebase</w:t>
            </w:r>
          </w:p>
        </w:tc>
        <w:tc>
          <w:tcPr>
            <w:tcW w:w="5260" w:type="dxa"/>
            <w:tcMar>
              <w:top w:w="80" w:type="dxa"/>
              <w:left w:w="120" w:type="dxa"/>
              <w:bottom w:w="80" w:type="dxa"/>
              <w:right w:w="120" w:type="dxa"/>
            </w:tcMar>
          </w:tcPr>
          <w:p>
            <w:r>
              <w:rPr>
                <w:sz w:val="18"/>
                <w:szCs w:val="18"/>
              </w:rPr>
              <w:t xml:space="preserve">Now supporting evidence rather than the load-bearing question. Evidence hierarchy: GitLab tags and release markers, formal handover emails, sprint demo records including Fireflies transcripts, invoicing records. NOT STARTED.</w:t>
            </w:r>
          </w:p>
        </w:tc>
      </w:tr>
      <w:tr>
        <w:tc>
          <w:tcPr>
            <w:tcW w:w="700" w:type="dxa"/>
            <w:tcMar>
              <w:top w:w="80" w:type="dxa"/>
              <w:left w:w="120" w:type="dxa"/>
              <w:bottom w:w="80" w:type="dxa"/>
              <w:right w:w="120" w:type="dxa"/>
            </w:tcMar>
          </w:tcPr>
          <w:p>
            <w:r>
              <w:rPr>
                <w:sz w:val="18"/>
                <w:szCs w:val="18"/>
              </w:rPr>
              <w:t xml:space="preserve">02</w:t>
            </w:r>
          </w:p>
        </w:tc>
        <w:tc>
          <w:tcPr>
            <w:tcW w:w="3400" w:type="dxa"/>
            <w:tcMar>
              <w:top w:w="80" w:type="dxa"/>
              <w:left w:w="120" w:type="dxa"/>
              <w:bottom w:w="80" w:type="dxa"/>
              <w:right w:w="120" w:type="dxa"/>
            </w:tcMar>
          </w:tcPr>
          <w:p>
            <w:r>
              <w:rPr>
                <w:sz w:val="18"/>
                <w:szCs w:val="18"/>
              </w:rPr>
              <w:t xml:space="preserve">Split PoLi-CR-01 v2.3 into a defect notice and a change request</w:t>
            </w:r>
          </w:p>
        </w:tc>
        <w:tc>
          <w:tcPr>
            <w:tcW w:w="5260" w:type="dxa"/>
            <w:tcMar>
              <w:top w:w="80" w:type="dxa"/>
              <w:left w:w="120" w:type="dxa"/>
              <w:bottom w:w="80" w:type="dxa"/>
              <w:right w:w="120" w:type="dxa"/>
            </w:tcMar>
          </w:tcPr>
          <w:p>
            <w:r>
              <w:rPr>
                <w:sz w:val="18"/>
                <w:szCs w:val="18"/>
              </w:rPr>
              <w:t xml:space="preserve">Findings 1 and 2 become a written notice of non-conformity under Amendment A8. Findings 3 and 4 and the four provenance fields remain a change request. NOT STARTED.</w:t>
            </w:r>
          </w:p>
        </w:tc>
      </w:tr>
      <w:tr>
        <w:tc>
          <w:tcPr>
            <w:tcW w:w="700" w:type="dxa"/>
            <w:tcMar>
              <w:top w:w="80" w:type="dxa"/>
              <w:left w:w="120" w:type="dxa"/>
              <w:bottom w:w="80" w:type="dxa"/>
              <w:right w:w="120" w:type="dxa"/>
            </w:tcMar>
          </w:tcPr>
          <w:p>
            <w:r>
              <w:rPr>
                <w:sz w:val="18"/>
                <w:szCs w:val="18"/>
              </w:rPr>
              <w:t xml:space="preserve">03</w:t>
            </w:r>
          </w:p>
        </w:tc>
        <w:tc>
          <w:tcPr>
            <w:tcW w:w="3400" w:type="dxa"/>
            <w:tcMar>
              <w:top w:w="80" w:type="dxa"/>
              <w:left w:w="120" w:type="dxa"/>
              <w:bottom w:w="80" w:type="dxa"/>
              <w:right w:w="120" w:type="dxa"/>
            </w:tcMar>
          </w:tcPr>
          <w:p>
            <w:r>
              <w:rPr>
                <w:sz w:val="18"/>
                <w:szCs w:val="18"/>
              </w:rPr>
              <w:t xml:space="preserve">Issue the defect notice to IntellectEU</w:t>
            </w:r>
          </w:p>
        </w:tc>
        <w:tc>
          <w:tcPr>
            <w:tcW w:w="5260" w:type="dxa"/>
            <w:tcMar>
              <w:top w:w="80" w:type="dxa"/>
              <w:left w:w="120" w:type="dxa"/>
              <w:bottom w:w="80" w:type="dxa"/>
              <w:right w:w="120" w:type="dxa"/>
            </w:tcMar>
          </w:tcPr>
          <w:p>
            <w:r>
              <w:rPr>
                <w:sz w:val="18"/>
                <w:szCs w:val="18"/>
              </w:rPr>
              <w:t xml:space="preserve">Bruno Almeida, Head of Digital Assets, as primary strategic contact. Copy Paula Costa, Delivery Manager. Consider issuing before the Expiration Date of 23 July 2026. NOT STARTED.</w:t>
            </w:r>
          </w:p>
        </w:tc>
      </w:tr>
      <w:tr>
        <w:tc>
          <w:tcPr>
            <w:tcW w:w="700" w:type="dxa"/>
            <w:tcMar>
              <w:top w:w="80" w:type="dxa"/>
              <w:left w:w="120" w:type="dxa"/>
              <w:bottom w:w="80" w:type="dxa"/>
              <w:right w:w="120" w:type="dxa"/>
            </w:tcMar>
          </w:tcPr>
          <w:p>
            <w:r>
              <w:rPr>
                <w:sz w:val="18"/>
                <w:szCs w:val="18"/>
              </w:rPr>
              <w:t xml:space="preserve">04</w:t>
            </w:r>
          </w:p>
        </w:tc>
        <w:tc>
          <w:tcPr>
            <w:tcW w:w="3400" w:type="dxa"/>
            <w:tcMar>
              <w:top w:w="80" w:type="dxa"/>
              <w:left w:w="120" w:type="dxa"/>
              <w:bottom w:w="80" w:type="dxa"/>
              <w:right w:w="120" w:type="dxa"/>
            </w:tcMar>
          </w:tcPr>
          <w:p>
            <w:r>
              <w:rPr>
                <w:sz w:val="18"/>
                <w:szCs w:val="18"/>
              </w:rPr>
              <w:t xml:space="preserve">Issue the change request to IntellectEU</w:t>
            </w:r>
          </w:p>
        </w:tc>
        <w:tc>
          <w:tcPr>
            <w:tcW w:w="5260" w:type="dxa"/>
            <w:tcMar>
              <w:top w:w="80" w:type="dxa"/>
              <w:left w:w="120" w:type="dxa"/>
              <w:bottom w:w="80" w:type="dxa"/>
              <w:right w:w="120" w:type="dxa"/>
            </w:tcMar>
          </w:tcPr>
          <w:p>
            <w:r>
              <w:rPr>
                <w:sz w:val="18"/>
                <w:szCs w:val="18"/>
              </w:rPr>
              <w:t xml:space="preserve">Follows the defect notice, separately. Copy Paula Costa. This is scope beyond SOW #USGTC 20260010. HELD pending item 02.</w:t>
            </w:r>
          </w:p>
        </w:tc>
      </w:tr>
    </w:tbl>
    <w:p>
      <w:pPr>
        <w:spacing w:after="120"/>
      </w:pPr>
      <w:r>
        <w:rPr>
          <w:sz w:val="21"/>
          <w:szCs w:val="21"/>
        </w:rPr>
        <w:t xml:space="preserve"/>
      </w:r>
    </w:p>
    <w:p w14:paraId="52EC4008" w14:textId="77777777" w:rsidR="00D56334" w:rsidRDefault="00000000">
      <w:pPr>
        <w:pStyle w:val="Heading1"/>
        <w:spacing w:after="120"/>
      </w:pPr>
      <w:r>
        <w:lastRenderedPageBreak/>
        <w:t>Appendix A: SECP256K1 Keypair Generation</w:t>
      </w:r>
    </w:p>
    <w:p w14:paraId="4C614CF8" w14:textId="77777777" w:rsidR="00D56334" w:rsidRDefault="00000000">
      <w:pPr>
        <w:spacing w:after="120"/>
      </w:pPr>
      <w:r>
        <w:rPr>
          <w:color w:val="333333"/>
        </w:rPr>
        <w:t>Run the following commands to generate your keypair. The private key stays on your machine. The public key hex string is what gets registered in the Orchestrator contract.</w:t>
      </w:r>
    </w:p>
    <w:p w14:paraId="4BD2ACAC" w14:textId="77777777" w:rsidR="00D56334" w:rsidRDefault="00D56334">
      <w:pPr>
        <w:spacing w:after="60"/>
      </w:pPr>
    </w:p>
    <w:p w14:paraId="6C370F82" w14:textId="77777777" w:rsidR="00D56334" w:rsidRDefault="00000000">
      <w:pPr>
        <w:spacing w:after="120"/>
      </w:pPr>
      <w:r>
        <w:rPr>
          <w:b/>
          <w:bCs/>
          <w:color w:val="333333"/>
        </w:rPr>
        <w:t>Step 1: Generate private key</w:t>
      </w:r>
    </w:p>
    <w:p w14:paraId="175AE3F1" w14:textId="77777777" w:rsidR="00D56334" w:rsidRDefault="00000000">
      <w:pPr>
        <w:shd w:val="clear" w:color="auto" w:fill="F2F4F7"/>
        <w:spacing w:after="60"/>
      </w:pPr>
      <w:r>
        <w:rPr>
          <w:rFonts w:ascii="Consolas" w:eastAsia="Consolas" w:hAnsi="Consolas" w:cs="Consolas"/>
          <w:color w:val="0D1E3A"/>
          <w:sz w:val="20"/>
          <w:szCs w:val="20"/>
        </w:rPr>
        <w:t xml:space="preserve">openssl ecparam -name secp256k1 -genkey -noout -out poli_po_private_devnet.pem</w:t>
      </w:r>
    </w:p>
    <w:p w14:paraId="14E755D1" w14:textId="77777777" w:rsidR="00D56334" w:rsidRDefault="00D56334">
      <w:pPr>
        <w:spacing w:after="60"/>
      </w:pPr>
    </w:p>
    <w:p w14:paraId="09D3EE6C" w14:textId="77777777" w:rsidR="00D56334" w:rsidRDefault="00000000">
      <w:pPr>
        <w:spacing w:after="120"/>
      </w:pPr>
      <w:r>
        <w:rPr>
          <w:b/>
          <w:bCs/>
          <w:color w:val="333333"/>
        </w:rPr>
        <w:t>Step 2: Extract DER-encoded compressed public key as hex string</w:t>
      </w:r>
    </w:p>
    <w:p w14:paraId="226E6141" w14:textId="77777777" w:rsidR="00D56334" w:rsidRDefault="00000000">
      <w:pPr>
        <w:shd w:val="clear" w:color="auto" w:fill="F2F4F7"/>
        <w:spacing w:after="60"/>
      </w:pPr>
      <w:r>
        <w:rPr>
          <w:rFonts w:ascii="Consolas" w:eastAsia="Consolas" w:hAnsi="Consolas" w:cs="Consolas"/>
          <w:color w:val="0D1E3A"/>
          <w:sz w:val="20"/>
          <w:szCs w:val="20"/>
        </w:rPr>
        <w:t xml:space="preserve">openssl ec -in poli_po_private_devnet.pem -pubout -conv_form compressed -outform DER 2&gt;/dev/null | xxd -p | tr -d '\n'</w:t>
      </w:r>
    </w:p>
    <w:p w14:paraId="7F95C10B" w14:textId="77777777" w:rsidR="00D56334" w:rsidRDefault="00D56334">
      <w:pPr>
        <w:spacing w:after="60"/>
      </w:pPr>
    </w:p>
    <w:p w14:paraId="2F1BB94F" w14:textId="77777777" w:rsidR="00D56334" w:rsidRDefault="00000000">
      <w:pPr>
        <w:spacing w:after="120"/>
      </w:pPr>
      <w:r>
        <w:rPr>
          <w:color w:val="333333"/>
        </w:rPr>
        <w:t xml:space="preserve">This outputs the full DER-encoded compressed SECP256K1 public key as a lowercase hex string. This is what goes into the publicKey field on the CreateOrchestrator command. Format confirmed by Joao Gaspar as DA.Crypto.Text.PublicKeyHex (DER format).</w:t>
      </w:r>
    </w:p>
    <w:p w14:paraId="55A0DE58" w14:textId="77777777" w:rsidR="00D56334" w:rsidRDefault="00D56334">
      <w:pPr>
        <w:spacing w:after="60"/>
      </w:pPr>
    </w:p>
    <w:p w14:paraId="177EBD39" w14:textId="77777777" w:rsidR="00D56334" w:rsidRDefault="00000000">
      <w:pPr>
        <w:spacing w:after="120"/>
      </w:pPr>
      <w:r>
        <w:rPr>
          <w:b/>
          <w:bCs/>
          <w:color w:val="333333"/>
        </w:rPr>
        <w:t>Step 3: Verify the output length</w:t>
      </w:r>
    </w:p>
    <w:p w14:paraId="742DF2B8" w14:textId="77777777" w:rsidR="00D56334" w:rsidRDefault="00000000">
      <w:pPr>
        <w:spacing w:after="120"/>
      </w:pPr>
      <w:r>
        <w:rPr>
          <w:color w:val="333333"/>
        </w:rPr>
        <w:t>The hex string should be 112 characters (56 bytes DER-encoded). The underlying compressed public key is 33 bytes (66 hex characters) wrapped in a 23-byte DER header.</w:t>
      </w:r>
    </w:p>
    <w:p w14:paraId="21C573D5" w14:textId="77777777" w:rsidR="00D56334" w:rsidRDefault="00D56334">
      <w:pPr>
        <w:spacing w:after="60"/>
      </w:pPr>
    </w:p>
    <w:p w14:paraId="2EF976F1" w14:textId="77777777" w:rsidR="00D56334" w:rsidRDefault="00000000">
      <w:pPr>
        <w:spacing w:after="120"/>
      </w:pPr>
      <w:r>
        <w:rPr>
          <w:b/>
          <w:bCs/>
          <w:color w:val="333333"/>
        </w:rPr>
        <w:t>Step 4: Repeat for MainNet with a separate keypair</w:t>
      </w:r>
    </w:p>
    <w:p w14:paraId="3354B6BF" w14:textId="77777777" w:rsidR="00D56334" w:rsidRDefault="00000000">
      <w:pPr>
        <w:shd w:val="clear" w:color="auto" w:fill="F2F4F7"/>
        <w:spacing w:after="60"/>
      </w:pPr>
      <w:r>
        <w:rPr>
          <w:rFonts w:ascii="Consolas" w:eastAsia="Consolas" w:hAnsi="Consolas" w:cs="Consolas"/>
          <w:color w:val="0D1E3A"/>
          <w:sz w:val="20"/>
          <w:szCs w:val="20"/>
        </w:rPr>
        <w:t xml:space="preserve">openssl ecparam -name secp256k1 -genkey -noout -out poli_po_private_mainnet.pem</w:t>
      </w:r>
    </w:p>
    <w:p w14:paraId="53F383E5" w14:textId="77777777" w:rsidR="00D56334" w:rsidRDefault="00D56334">
      <w:pPr>
        <w:spacing w:after="60"/>
      </w:pPr>
    </w:p>
    <w:p w14:paraId="4017BF1C" w14:textId="77777777" w:rsidR="00D56334" w:rsidRDefault="00000000">
      <w:pPr>
        <w:spacing w:after="120"/>
      </w:pPr>
      <w:r>
        <w:rPr>
          <w:color w:val="333333"/>
        </w:rPr>
        <w:t>Store both private keys securely. Never commit them to version control. Never share them with any third party including IntellectEU.</w:t>
      </w:r>
    </w:p>
    <w:p w14:paraId="6A0B639F" w14:textId="77777777" w:rsidR="00D56334" w:rsidRDefault="00D56334">
      <w:pPr>
        <w:spacing w:after="60"/>
      </w:pPr>
    </w:p>
    <w:p w14:paraId="51F9AB6B" w14:textId="77777777" w:rsidR="00D56334" w:rsidRDefault="00000000">
      <w:pPr>
        <w:pStyle w:val="Heading1"/>
        <w:spacing w:after="120"/>
      </w:pPr>
      <w:r>
        <w:t>Appendix B: Bruno Environment Variables to Extract</w:t>
      </w:r>
    </w:p>
    <w:p w14:paraId="72320DD9" w14:textId="77777777" w:rsidR="00D56334" w:rsidRDefault="00000000">
      <w:pPr>
        <w:spacing w:after="120"/>
      </w:pPr>
      <w:r>
        <w:rPr>
          <w:color w:val="333333"/>
        </w:rPr>
        <w:t>Open the Bruno collection settings and record the following variables from the DevNet environment. These values are required for your service configuration.</w:t>
      </w:r>
    </w:p>
    <w:p w14:paraId="054A1FD8" w14:textId="77777777" w:rsidR="00D56334" w:rsidRDefault="00D56334">
      <w:pPr>
        <w:spacing w:after="60"/>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54"/>
      </w:tblGrid>
      <w:tr w:rsidR="00D56334" w14:paraId="4D603810" w14:textId="77777777">
        <w:tblPrEx>
          <w:tblCellMar>
            <w:top w:w="0" w:type="dxa"/>
            <w:bottom w:w="0" w:type="dxa"/>
          </w:tblCellMar>
        </w:tblPrEx>
        <w:tc>
          <w:tcPr>
            <w:tcW w:w="3500" w:type="dxa"/>
            <w:tcBorders>
              <w:top w:val="single" w:sz="1" w:space="0" w:color="D0D4DC"/>
              <w:left w:val="single" w:sz="1" w:space="0" w:color="D0D4DC"/>
              <w:bottom w:val="single" w:sz="1" w:space="0" w:color="D0D4DC"/>
              <w:right w:val="single" w:sz="1" w:space="0" w:color="D0D4DC"/>
            </w:tcBorders>
            <w:shd w:val="clear" w:color="auto" w:fill="0D1E3A"/>
            <w:tcMar>
              <w:top w:w="80" w:type="dxa"/>
              <w:left w:w="120" w:type="dxa"/>
              <w:bottom w:w="80" w:type="dxa"/>
              <w:right w:w="120" w:type="dxa"/>
            </w:tcMar>
          </w:tcPr>
          <w:p w14:paraId="07B44510" w14:textId="77777777" w:rsidR="00D56334" w:rsidRDefault="00000000">
            <w:r>
              <w:rPr>
                <w:b/>
                <w:bCs/>
                <w:color w:val="FFFFFF"/>
                <w:sz w:val="18"/>
                <w:szCs w:val="18"/>
              </w:rPr>
              <w:t>Variable</w:t>
            </w:r>
          </w:p>
        </w:tc>
        <w:tc>
          <w:tcPr>
            <w:tcW w:w="5854" w:type="dxa"/>
            <w:tcBorders>
              <w:top w:val="single" w:sz="1" w:space="0" w:color="D0D4DC"/>
              <w:left w:val="single" w:sz="1" w:space="0" w:color="D0D4DC"/>
              <w:bottom w:val="single" w:sz="1" w:space="0" w:color="D0D4DC"/>
              <w:right w:val="single" w:sz="1" w:space="0" w:color="D0D4DC"/>
            </w:tcBorders>
            <w:shd w:val="clear" w:color="auto" w:fill="0D1E3A"/>
            <w:tcMar>
              <w:top w:w="80" w:type="dxa"/>
              <w:left w:w="120" w:type="dxa"/>
              <w:bottom w:w="80" w:type="dxa"/>
              <w:right w:w="120" w:type="dxa"/>
            </w:tcMar>
          </w:tcPr>
          <w:p w14:paraId="29CA3501" w14:textId="77777777" w:rsidR="00D56334" w:rsidRDefault="00000000">
            <w:r>
              <w:rPr>
                <w:b/>
                <w:bCs/>
                <w:color w:val="FFFFFF"/>
                <w:sz w:val="18"/>
                <w:szCs w:val="18"/>
              </w:rPr>
              <w:t>Where Used</w:t>
            </w:r>
          </w:p>
        </w:tc>
      </w:tr>
      <w:tr w:rsidR="00D56334" w14:paraId="277CE8F4" w14:textId="77777777">
        <w:tblPrEx>
          <w:tblCellMar>
            <w:top w:w="0" w:type="dxa"/>
            <w:bottom w:w="0" w:type="dxa"/>
          </w:tblCellMar>
        </w:tblPrEx>
        <w:tc>
          <w:tcPr>
            <w:tcW w:w="35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7F538956" w14:textId="77777777" w:rsidR="00D56334" w:rsidRDefault="00000000">
            <w:r>
              <w:rPr>
                <w:b/>
                <w:bCs/>
                <w:color w:val="333333"/>
                <w:sz w:val="18"/>
                <w:szCs w:val="18"/>
              </w:rPr>
              <w:t>defaultUrl</w:t>
            </w:r>
          </w:p>
        </w:tc>
        <w:tc>
          <w:tcPr>
            <w:tcW w:w="5854"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42C8AC0B" w14:textId="77777777" w:rsidR="00D56334" w:rsidRDefault="00000000">
            <w:r>
              <w:rPr>
                <w:color w:val="333333"/>
                <w:sz w:val="18"/>
                <w:szCs w:val="18"/>
              </w:rPr>
              <w:t>Base URL for all Canton Ledger API calls</w:t>
            </w:r>
          </w:p>
        </w:tc>
      </w:tr>
      <w:tr w:rsidR="00D56334" w14:paraId="1AA063C3" w14:textId="77777777">
        <w:tblPrEx>
          <w:tblCellMar>
            <w:top w:w="0" w:type="dxa"/>
            <w:bottom w:w="0" w:type="dxa"/>
          </w:tblCellMar>
        </w:tblPrEx>
        <w:tc>
          <w:tcPr>
            <w:tcW w:w="3500" w:type="dxa"/>
            <w:tcBorders>
              <w:top w:val="single" w:sz="1" w:space="0" w:color="D0D4DC"/>
              <w:left w:val="single" w:sz="1" w:space="0" w:color="D0D4DC"/>
              <w:bottom w:val="single" w:sz="1" w:space="0" w:color="D0D4DC"/>
              <w:right w:val="single" w:sz="1" w:space="0" w:color="D0D4DC"/>
            </w:tcBorders>
            <w:shd w:val="clear" w:color="auto" w:fill="F2F4F7"/>
            <w:tcMar>
              <w:top w:w="80" w:type="dxa"/>
              <w:left w:w="120" w:type="dxa"/>
              <w:bottom w:w="80" w:type="dxa"/>
              <w:right w:w="120" w:type="dxa"/>
            </w:tcMar>
          </w:tcPr>
          <w:p w14:paraId="7E01B300" w14:textId="77777777" w:rsidR="00D56334" w:rsidRDefault="00000000">
            <w:r>
              <w:rPr>
                <w:b/>
                <w:bCs/>
                <w:color w:val="333333"/>
                <w:sz w:val="18"/>
                <w:szCs w:val="18"/>
              </w:rPr>
              <w:t>operator_partyId</w:t>
            </w:r>
          </w:p>
        </w:tc>
        <w:tc>
          <w:tcPr>
            <w:tcW w:w="5854" w:type="dxa"/>
            <w:tcBorders>
              <w:top w:val="single" w:sz="1" w:space="0" w:color="D0D4DC"/>
              <w:left w:val="single" w:sz="1" w:space="0" w:color="D0D4DC"/>
              <w:bottom w:val="single" w:sz="1" w:space="0" w:color="D0D4DC"/>
              <w:right w:val="single" w:sz="1" w:space="0" w:color="D0D4DC"/>
            </w:tcBorders>
            <w:shd w:val="clear" w:color="auto" w:fill="F2F4F7"/>
            <w:tcMar>
              <w:top w:w="80" w:type="dxa"/>
              <w:left w:w="120" w:type="dxa"/>
              <w:bottom w:w="80" w:type="dxa"/>
              <w:right w:w="120" w:type="dxa"/>
            </w:tcMar>
          </w:tcPr>
          <w:p w14:paraId="223D0974" w14:textId="77777777" w:rsidR="00D56334" w:rsidRDefault="00000000">
            <w:r>
              <w:rPr>
                <w:color w:val="333333"/>
                <w:sz w:val="18"/>
                <w:szCs w:val="18"/>
              </w:rPr>
              <w:t xml:space="preserve">Operator party ID for actAs and command submission</w:t>
            </w:r>
          </w:p>
        </w:tc>
      </w:tr>
      <w:tr w:rsidR="00D56334" w14:paraId="4CB2A96C" w14:textId="77777777">
        <w:tblPrEx>
          <w:tblCellMar>
            <w:top w:w="0" w:type="dxa"/>
            <w:bottom w:w="0" w:type="dxa"/>
          </w:tblCellMar>
        </w:tblPrEx>
        <w:tc>
          <w:tcPr>
            <w:tcW w:w="35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161FE14C" w14:textId="77777777" w:rsidR="00D56334" w:rsidRDefault="00000000">
            <w:r>
              <w:rPr>
                <w:b/>
                <w:bCs/>
                <w:color w:val="333333"/>
                <w:sz w:val="18"/>
                <w:szCs w:val="18"/>
              </w:rPr>
              <w:t>consumer_partyId</w:t>
            </w:r>
          </w:p>
        </w:tc>
        <w:tc>
          <w:tcPr>
            <w:tcW w:w="5854"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6012CF96" w14:textId="77777777" w:rsidR="00D56334" w:rsidRDefault="00000000">
            <w:r>
              <w:rPr>
                <w:color w:val="333333"/>
                <w:sz w:val="18"/>
                <w:szCs w:val="18"/>
              </w:rPr>
              <w:t>Consumer party ID for attestation requests</w:t>
            </w:r>
          </w:p>
        </w:tc>
      </w:tr>
      <w:tr w:rsidR="00D56334" w14:paraId="3315D485" w14:textId="77777777">
        <w:tblPrEx>
          <w:tblCellMar>
            <w:top w:w="0" w:type="dxa"/>
            <w:bottom w:w="0" w:type="dxa"/>
          </w:tblCellMar>
        </w:tblPrEx>
        <w:tc>
          <w:tcPr>
            <w:tcW w:w="3500" w:type="dxa"/>
            <w:tcBorders>
              <w:top w:val="single" w:sz="1" w:space="0" w:color="D0D4DC"/>
              <w:left w:val="single" w:sz="1" w:space="0" w:color="D0D4DC"/>
              <w:bottom w:val="single" w:sz="1" w:space="0" w:color="D0D4DC"/>
              <w:right w:val="single" w:sz="1" w:space="0" w:color="D0D4DC"/>
            </w:tcBorders>
            <w:shd w:val="clear" w:color="auto" w:fill="F2F4F7"/>
            <w:tcMar>
              <w:top w:w="80" w:type="dxa"/>
              <w:left w:w="120" w:type="dxa"/>
              <w:bottom w:w="80" w:type="dxa"/>
              <w:right w:w="120" w:type="dxa"/>
            </w:tcMar>
          </w:tcPr>
          <w:p w14:paraId="7D1A7EB4" w14:textId="77777777" w:rsidR="00D56334" w:rsidRDefault="00000000">
            <w:r>
              <w:rPr>
                <w:b/>
                <w:bCs/>
                <w:color w:val="333333"/>
                <w:sz w:val="18"/>
                <w:szCs w:val="18"/>
              </w:rPr>
              <w:t>complianceOfficer_partyId</w:t>
            </w:r>
          </w:p>
        </w:tc>
        <w:tc>
          <w:tcPr>
            <w:tcW w:w="5854" w:type="dxa"/>
            <w:tcBorders>
              <w:top w:val="single" w:sz="1" w:space="0" w:color="D0D4DC"/>
              <w:left w:val="single" w:sz="1" w:space="0" w:color="D0D4DC"/>
              <w:bottom w:val="single" w:sz="1" w:space="0" w:color="D0D4DC"/>
              <w:right w:val="single" w:sz="1" w:space="0" w:color="D0D4DC"/>
            </w:tcBorders>
            <w:shd w:val="clear" w:color="auto" w:fill="F2F4F7"/>
            <w:tcMar>
              <w:top w:w="80" w:type="dxa"/>
              <w:left w:w="120" w:type="dxa"/>
              <w:bottom w:w="80" w:type="dxa"/>
              <w:right w:w="120" w:type="dxa"/>
            </w:tcMar>
          </w:tcPr>
          <w:p w14:paraId="7C7BC3DC" w14:textId="77777777" w:rsidR="00D56334" w:rsidRDefault="00000000">
            <w:r>
              <w:rPr>
                <w:color w:val="333333"/>
                <w:sz w:val="18"/>
                <w:szCs w:val="18"/>
              </w:rPr>
              <w:t>CO party ID for Orchestrator creation</w:t>
            </w:r>
          </w:p>
        </w:tc>
      </w:tr>
      <w:tr w:rsidR="00D56334" w14:paraId="72883FB6" w14:textId="77777777">
        <w:tblPrEx>
          <w:tblCellMar>
            <w:top w:w="0" w:type="dxa"/>
            <w:bottom w:w="0" w:type="dxa"/>
          </w:tblCellMar>
        </w:tblPrEx>
        <w:tc>
          <w:tcPr>
            <w:tcW w:w="35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6786C70F" w14:textId="77777777" w:rsidR="00D56334" w:rsidRDefault="00000000">
            <w:r>
              <w:rPr>
                <w:b/>
                <w:bCs/>
                <w:color w:val="333333"/>
                <w:sz w:val="18"/>
                <w:szCs w:val="18"/>
              </w:rPr>
              <w:t>orchestratorTemplateId</w:t>
            </w:r>
          </w:p>
        </w:tc>
        <w:tc>
          <w:tcPr>
            <w:tcW w:w="5854"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388F74FF" w14:textId="77777777" w:rsidR="00D56334" w:rsidRDefault="00000000">
            <w:r>
              <w:rPr>
                <w:color w:val="333333"/>
                <w:sz w:val="18"/>
                <w:szCs w:val="18"/>
              </w:rPr>
              <w:t>Template ID for Orchestrator contracts</w:t>
            </w:r>
          </w:p>
        </w:tc>
      </w:tr>
      <w:tr w:rsidR="00D56334" w14:paraId="631A9079" w14:textId="77777777">
        <w:tblPrEx>
          <w:tblCellMar>
            <w:top w:w="0" w:type="dxa"/>
            <w:bottom w:w="0" w:type="dxa"/>
          </w:tblCellMar>
        </w:tblPrEx>
        <w:tc>
          <w:tcPr>
            <w:tcW w:w="3500" w:type="dxa"/>
            <w:tcBorders>
              <w:top w:val="single" w:sz="1" w:space="0" w:color="D0D4DC"/>
              <w:left w:val="single" w:sz="1" w:space="0" w:color="D0D4DC"/>
              <w:bottom w:val="single" w:sz="1" w:space="0" w:color="D0D4DC"/>
              <w:right w:val="single" w:sz="1" w:space="0" w:color="D0D4DC"/>
            </w:tcBorders>
            <w:shd w:val="clear" w:color="auto" w:fill="F2F4F7"/>
            <w:tcMar>
              <w:top w:w="80" w:type="dxa"/>
              <w:left w:w="120" w:type="dxa"/>
              <w:bottom w:w="80" w:type="dxa"/>
              <w:right w:w="120" w:type="dxa"/>
            </w:tcMar>
          </w:tcPr>
          <w:p w14:paraId="70012A97" w14:textId="77777777" w:rsidR="00D56334" w:rsidRDefault="00000000">
            <w:r>
              <w:rPr>
                <w:b/>
                <w:bCs/>
                <w:color w:val="333333"/>
                <w:sz w:val="18"/>
                <w:szCs w:val="18"/>
              </w:rPr>
              <w:t>orchestratorContractId</w:t>
            </w:r>
          </w:p>
        </w:tc>
        <w:tc>
          <w:tcPr>
            <w:tcW w:w="5854" w:type="dxa"/>
            <w:tcBorders>
              <w:top w:val="single" w:sz="1" w:space="0" w:color="D0D4DC"/>
              <w:left w:val="single" w:sz="1" w:space="0" w:color="D0D4DC"/>
              <w:bottom w:val="single" w:sz="1" w:space="0" w:color="D0D4DC"/>
              <w:right w:val="single" w:sz="1" w:space="0" w:color="D0D4DC"/>
            </w:tcBorders>
            <w:shd w:val="clear" w:color="auto" w:fill="F2F4F7"/>
            <w:tcMar>
              <w:top w:w="80" w:type="dxa"/>
              <w:left w:w="120" w:type="dxa"/>
              <w:bottom w:w="80" w:type="dxa"/>
              <w:right w:w="120" w:type="dxa"/>
            </w:tcMar>
          </w:tcPr>
          <w:p w14:paraId="77CBDE42" w14:textId="77777777" w:rsidR="00D56334" w:rsidRDefault="00000000">
            <w:r>
              <w:rPr>
                <w:color w:val="333333"/>
                <w:sz w:val="18"/>
                <w:szCs w:val="18"/>
              </w:rPr>
              <w:t>Active Orchestrator contract ID (changes per creation)</w:t>
            </w:r>
          </w:p>
        </w:tc>
      </w:tr>
      <w:tr w:rsidR="00D56334" w14:paraId="10E0996D" w14:textId="77777777">
        <w:tblPrEx>
          <w:tblCellMar>
            <w:top w:w="0" w:type="dxa"/>
            <w:bottom w:w="0" w:type="dxa"/>
          </w:tblCellMar>
        </w:tblPrEx>
        <w:tc>
          <w:tcPr>
            <w:tcW w:w="35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0D254D99" w14:textId="77777777" w:rsidR="00D56334" w:rsidRDefault="00000000">
            <w:r>
              <w:rPr>
                <w:b/>
                <w:bCs/>
                <w:color w:val="333333"/>
                <w:sz w:val="18"/>
                <w:szCs w:val="18"/>
              </w:rPr>
              <w:t>attestationRequestTemplateId</w:t>
            </w:r>
          </w:p>
        </w:tc>
        <w:tc>
          <w:tcPr>
            <w:tcW w:w="5854"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6B1E9FAD" w14:textId="77777777" w:rsidR="00D56334" w:rsidRDefault="00000000">
            <w:r>
              <w:rPr>
                <w:color w:val="333333"/>
                <w:sz w:val="18"/>
                <w:szCs w:val="18"/>
              </w:rPr>
              <w:t xml:space="preserve">Template ID for AttestationRequest contracts</w:t>
            </w:r>
          </w:p>
        </w:tc>
      </w:tr>
      <w:tr w:rsidR="00D56334" w14:paraId="7511A082" w14:textId="77777777">
        <w:tblPrEx>
          <w:tblCellMar>
            <w:top w:w="0" w:type="dxa"/>
            <w:bottom w:w="0" w:type="dxa"/>
          </w:tblCellMar>
        </w:tblPrEx>
        <w:tc>
          <w:tcPr>
            <w:tcW w:w="3500" w:type="dxa"/>
            <w:tcBorders>
              <w:top w:val="single" w:sz="1" w:space="0" w:color="D0D4DC"/>
              <w:left w:val="single" w:sz="1" w:space="0" w:color="D0D4DC"/>
              <w:bottom w:val="single" w:sz="1" w:space="0" w:color="D0D4DC"/>
              <w:right w:val="single" w:sz="1" w:space="0" w:color="D0D4DC"/>
            </w:tcBorders>
            <w:shd w:val="clear" w:color="auto" w:fill="F2F4F7"/>
            <w:tcMar>
              <w:top w:w="80" w:type="dxa"/>
              <w:left w:w="120" w:type="dxa"/>
              <w:bottom w:w="80" w:type="dxa"/>
              <w:right w:w="120" w:type="dxa"/>
            </w:tcMar>
          </w:tcPr>
          <w:p w14:paraId="136A9B87" w14:textId="77777777" w:rsidR="00D56334" w:rsidRDefault="00000000">
            <w:r>
              <w:rPr>
                <w:b/>
                <w:bCs/>
                <w:color w:val="333333"/>
                <w:sz w:val="18"/>
                <w:szCs w:val="18"/>
              </w:rPr>
              <w:t>poliAttestationTemplateId</w:t>
            </w:r>
          </w:p>
        </w:tc>
        <w:tc>
          <w:tcPr>
            <w:tcW w:w="5854" w:type="dxa"/>
            <w:tcBorders>
              <w:top w:val="single" w:sz="1" w:space="0" w:color="D0D4DC"/>
              <w:left w:val="single" w:sz="1" w:space="0" w:color="D0D4DC"/>
              <w:bottom w:val="single" w:sz="1" w:space="0" w:color="D0D4DC"/>
              <w:right w:val="single" w:sz="1" w:space="0" w:color="D0D4DC"/>
            </w:tcBorders>
            <w:shd w:val="clear" w:color="auto" w:fill="F2F4F7"/>
            <w:tcMar>
              <w:top w:w="80" w:type="dxa"/>
              <w:left w:w="120" w:type="dxa"/>
              <w:bottom w:w="80" w:type="dxa"/>
              <w:right w:w="120" w:type="dxa"/>
            </w:tcMar>
          </w:tcPr>
          <w:p w14:paraId="7BDD54F8" w14:textId="77777777" w:rsidR="00D56334" w:rsidRDefault="00000000">
            <w:r>
              <w:rPr>
                <w:color w:val="333333"/>
                <w:sz w:val="18"/>
                <w:szCs w:val="18"/>
              </w:rPr>
              <w:t xml:space="preserve">Template ID for PoLiAttestation contracts</w:t>
            </w:r>
          </w:p>
        </w:tc>
      </w:tr>
      <w:tr w:rsidR="00D56334" w14:paraId="37C4A78A" w14:textId="77777777">
        <w:tblPrEx>
          <w:tblCellMar>
            <w:top w:w="0" w:type="dxa"/>
            <w:bottom w:w="0" w:type="dxa"/>
          </w:tblCellMar>
        </w:tblPrEx>
        <w:tc>
          <w:tcPr>
            <w:tcW w:w="35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40478327" w14:textId="77777777" w:rsidR="00D56334" w:rsidRDefault="00000000">
            <w:r>
              <w:rPr>
                <w:b/>
                <w:bCs/>
                <w:color w:val="333333"/>
                <w:sz w:val="18"/>
                <w:szCs w:val="18"/>
              </w:rPr>
              <w:t>interfaceAttestationTemplateId</w:t>
            </w:r>
          </w:p>
        </w:tc>
        <w:tc>
          <w:tcPr>
            <w:tcW w:w="5854"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127F469D" w14:textId="77777777" w:rsidR="00D56334" w:rsidRDefault="00000000">
            <w:r>
              <w:rPr>
                <w:color w:val="333333"/>
                <w:sz w:val="18"/>
                <w:szCs w:val="18"/>
              </w:rPr>
              <w:t xml:space="preserve">Template ID for VerifyValidity interface</w:t>
            </w:r>
          </w:p>
        </w:tc>
      </w:tr>
      <w:tr w:rsidR="00D56334" w14:paraId="6DC3CB85" w14:textId="77777777">
        <w:tblPrEx>
          <w:tblCellMar>
            <w:top w:w="0" w:type="dxa"/>
            <w:bottom w:w="0" w:type="dxa"/>
          </w:tblCellMar>
        </w:tblPrEx>
        <w:tc>
          <w:tcPr>
            <w:tcW w:w="3500" w:type="dxa"/>
            <w:tcBorders>
              <w:top w:val="single" w:sz="1" w:space="0" w:color="D0D4DC"/>
              <w:left w:val="single" w:sz="1" w:space="0" w:color="D0D4DC"/>
              <w:bottom w:val="single" w:sz="1" w:space="0" w:color="D0D4DC"/>
              <w:right w:val="single" w:sz="1" w:space="0" w:color="D0D4DC"/>
            </w:tcBorders>
            <w:shd w:val="clear" w:color="auto" w:fill="F2F4F7"/>
            <w:tcMar>
              <w:top w:w="80" w:type="dxa"/>
              <w:left w:w="120" w:type="dxa"/>
              <w:bottom w:w="80" w:type="dxa"/>
              <w:right w:w="120" w:type="dxa"/>
            </w:tcMar>
          </w:tcPr>
          <w:p w14:paraId="0E5C1CF2" w14:textId="77777777" w:rsidR="00D56334" w:rsidRDefault="00000000">
            <w:r>
              <w:rPr>
                <w:b/>
                <w:bCs/>
                <w:color w:val="333333"/>
                <w:sz w:val="18"/>
                <w:szCs w:val="18"/>
              </w:rPr>
              <w:t>ledgerEnd</w:t>
            </w:r>
          </w:p>
        </w:tc>
        <w:tc>
          <w:tcPr>
            <w:tcW w:w="5854" w:type="dxa"/>
            <w:tcBorders>
              <w:top w:val="single" w:sz="1" w:space="0" w:color="D0D4DC"/>
              <w:left w:val="single" w:sz="1" w:space="0" w:color="D0D4DC"/>
              <w:bottom w:val="single" w:sz="1" w:space="0" w:color="D0D4DC"/>
              <w:right w:val="single" w:sz="1" w:space="0" w:color="D0D4DC"/>
            </w:tcBorders>
            <w:shd w:val="clear" w:color="auto" w:fill="F2F4F7"/>
            <w:tcMar>
              <w:top w:w="80" w:type="dxa"/>
              <w:left w:w="120" w:type="dxa"/>
              <w:bottom w:w="80" w:type="dxa"/>
              <w:right w:w="120" w:type="dxa"/>
            </w:tcMar>
          </w:tcPr>
          <w:p w14:paraId="7ECF3226" w14:textId="77777777" w:rsidR="00D56334" w:rsidRDefault="00000000">
            <w:r>
              <w:rPr>
                <w:color w:val="333333"/>
                <w:sz w:val="18"/>
                <w:szCs w:val="18"/>
              </w:rPr>
              <w:t xml:space="preserve">Current ledger offset (used in activeAtOffset)</w:t>
            </w:r>
          </w:p>
        </w:tc>
      </w:tr>
    </w:tbl>
    <w:p w14:paraId="0B63A6EE" w14:textId="77777777" w:rsidR="00D56334" w:rsidRDefault="00D56334">
      <w:pPr>
        <w:spacing w:after="60"/>
      </w:pPr>
    </w:p>
    <w:p w14:paraId="0907A473" w14:textId="77777777" w:rsidR="00D56334" w:rsidRDefault="00000000">
      <w:pPr>
        <w:pStyle w:val="Heading1"/>
        <w:spacing w:after="120"/>
      </w:pPr>
      <w:r>
        <w:t>Appendix C: Sensitive Items Register</w:t>
      </w:r>
    </w:p>
    <w:p w14:paraId="053C74CC" w14:textId="77777777" w:rsidR="00D56334" w:rsidRDefault="00000000">
      <w:pPr>
        <w:spacing w:after="120"/>
      </w:pPr>
      <w:r>
        <w:rPr>
          <w:color w:val="333333"/>
        </w:rPr>
        <w:t>The following items are classified as sensitive and must be handled with appropriate care.</w:t>
      </w:r>
    </w:p>
    <w:p w14:paraId="7B595F3E" w14:textId="77777777" w:rsidR="00D56334" w:rsidRDefault="00D56334">
      <w:pPr>
        <w:spacing w:after="60"/>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2854"/>
      </w:tblGrid>
      <w:tr w:rsidR="00D56334" w14:paraId="48DAC33D" w14:textId="77777777">
        <w:tblPrEx>
          <w:tblCellMar>
            <w:top w:w="0" w:type="dxa"/>
            <w:bottom w:w="0" w:type="dxa"/>
          </w:tblCellMar>
        </w:tblPrEx>
        <w:tc>
          <w:tcPr>
            <w:tcW w:w="3500" w:type="dxa"/>
            <w:tcBorders>
              <w:top w:val="single" w:sz="1" w:space="0" w:color="D0D4DC"/>
              <w:left w:val="single" w:sz="1" w:space="0" w:color="D0D4DC"/>
              <w:bottom w:val="single" w:sz="1" w:space="0" w:color="D0D4DC"/>
              <w:right w:val="single" w:sz="1" w:space="0" w:color="D0D4DC"/>
            </w:tcBorders>
            <w:shd w:val="clear" w:color="auto" w:fill="0D1E3A"/>
            <w:tcMar>
              <w:top w:w="80" w:type="dxa"/>
              <w:left w:w="120" w:type="dxa"/>
              <w:bottom w:w="80" w:type="dxa"/>
              <w:right w:w="120" w:type="dxa"/>
            </w:tcMar>
          </w:tcPr>
          <w:p w14:paraId="2EA7C303" w14:textId="77777777" w:rsidR="00D56334" w:rsidRDefault="00000000">
            <w:r>
              <w:rPr>
                <w:b/>
                <w:bCs/>
                <w:color w:val="FFFFFF"/>
                <w:sz w:val="18"/>
                <w:szCs w:val="18"/>
              </w:rPr>
              <w:t>Item</w:t>
            </w:r>
          </w:p>
        </w:tc>
        <w:tc>
          <w:tcPr>
            <w:tcW w:w="3000" w:type="dxa"/>
            <w:tcBorders>
              <w:top w:val="single" w:sz="1" w:space="0" w:color="D0D4DC"/>
              <w:left w:val="single" w:sz="1" w:space="0" w:color="D0D4DC"/>
              <w:bottom w:val="single" w:sz="1" w:space="0" w:color="D0D4DC"/>
              <w:right w:val="single" w:sz="1" w:space="0" w:color="D0D4DC"/>
            </w:tcBorders>
            <w:shd w:val="clear" w:color="auto" w:fill="0D1E3A"/>
            <w:tcMar>
              <w:top w:w="80" w:type="dxa"/>
              <w:left w:w="120" w:type="dxa"/>
              <w:bottom w:w="80" w:type="dxa"/>
              <w:right w:w="120" w:type="dxa"/>
            </w:tcMar>
          </w:tcPr>
          <w:p w14:paraId="74F11CBC" w14:textId="77777777" w:rsidR="00D56334" w:rsidRDefault="00000000">
            <w:r>
              <w:rPr>
                <w:b/>
                <w:bCs/>
                <w:color w:val="FFFFFF"/>
                <w:sz w:val="18"/>
                <w:szCs w:val="18"/>
              </w:rPr>
              <w:t>Classification</w:t>
            </w:r>
          </w:p>
        </w:tc>
        <w:tc>
          <w:tcPr>
            <w:tcW w:w="2854" w:type="dxa"/>
            <w:tcBorders>
              <w:top w:val="single" w:sz="1" w:space="0" w:color="D0D4DC"/>
              <w:left w:val="single" w:sz="1" w:space="0" w:color="D0D4DC"/>
              <w:bottom w:val="single" w:sz="1" w:space="0" w:color="D0D4DC"/>
              <w:right w:val="single" w:sz="1" w:space="0" w:color="D0D4DC"/>
            </w:tcBorders>
            <w:shd w:val="clear" w:color="auto" w:fill="0D1E3A"/>
            <w:tcMar>
              <w:top w:w="80" w:type="dxa"/>
              <w:left w:w="120" w:type="dxa"/>
              <w:bottom w:w="80" w:type="dxa"/>
              <w:right w:w="120" w:type="dxa"/>
            </w:tcMar>
          </w:tcPr>
          <w:p w14:paraId="60E83F8C" w14:textId="77777777" w:rsidR="00D56334" w:rsidRDefault="00000000">
            <w:r>
              <w:rPr>
                <w:b/>
                <w:bCs/>
                <w:color w:val="FFFFFF"/>
                <w:sz w:val="18"/>
                <w:szCs w:val="18"/>
              </w:rPr>
              <w:t>Handling</w:t>
            </w:r>
          </w:p>
        </w:tc>
      </w:tr>
      <w:tr w:rsidR="00D56334" w14:paraId="2F6EDBA9" w14:textId="77777777">
        <w:tblPrEx>
          <w:tblCellMar>
            <w:top w:w="0" w:type="dxa"/>
            <w:bottom w:w="0" w:type="dxa"/>
          </w:tblCellMar>
        </w:tblPrEx>
        <w:tc>
          <w:tcPr>
            <w:tcW w:w="35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0B80CBC9" w14:textId="77777777" w:rsidR="00D56334" w:rsidRDefault="00000000">
            <w:r>
              <w:rPr>
                <w:color w:val="333333"/>
                <w:sz w:val="18"/>
                <w:szCs w:val="18"/>
              </w:rPr>
              <w:t>SECP256K1 private keys (DevNet and MainNet)</w:t>
            </w:r>
          </w:p>
        </w:tc>
        <w:tc>
          <w:tcPr>
            <w:tcW w:w="30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6716A294" w14:textId="77777777" w:rsidR="00D56334" w:rsidRDefault="00000000">
            <w:r>
              <w:rPr>
                <w:b/>
                <w:bCs/>
                <w:color w:val="333333"/>
                <w:sz w:val="18"/>
                <w:szCs w:val="18"/>
              </w:rPr>
              <w:t>Critical</w:t>
            </w:r>
          </w:p>
        </w:tc>
        <w:tc>
          <w:tcPr>
            <w:tcW w:w="2854"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6A67E952" w14:textId="77777777" w:rsidR="00D56334" w:rsidRDefault="00000000">
            <w:r>
              <w:rPr>
                <w:color w:val="333333"/>
                <w:sz w:val="18"/>
                <w:szCs w:val="18"/>
              </w:rPr>
              <w:t>Never shared, never committed to VCS</w:t>
            </w:r>
          </w:p>
        </w:tc>
      </w:tr>
      <w:tr w:rsidR="00D56334" w14:paraId="7CB490DC" w14:textId="77777777">
        <w:tblPrEx>
          <w:tblCellMar>
            <w:top w:w="0" w:type="dxa"/>
            <w:bottom w:w="0" w:type="dxa"/>
          </w:tblCellMar>
        </w:tblPrEx>
        <w:tc>
          <w:tcPr>
            <w:tcW w:w="3500" w:type="dxa"/>
            <w:tcBorders>
              <w:top w:val="single" w:sz="1" w:space="0" w:color="D0D4DC"/>
              <w:left w:val="single" w:sz="1" w:space="0" w:color="D0D4DC"/>
              <w:bottom w:val="single" w:sz="1" w:space="0" w:color="D0D4DC"/>
              <w:right w:val="single" w:sz="1" w:space="0" w:color="D0D4DC"/>
            </w:tcBorders>
            <w:shd w:val="clear" w:color="auto" w:fill="F2F4F7"/>
            <w:tcMar>
              <w:top w:w="80" w:type="dxa"/>
              <w:left w:w="120" w:type="dxa"/>
              <w:bottom w:w="80" w:type="dxa"/>
              <w:right w:w="120" w:type="dxa"/>
            </w:tcMar>
          </w:tcPr>
          <w:p w14:paraId="4AEDB950" w14:textId="77777777" w:rsidR="00D56334" w:rsidRDefault="00000000">
            <w:r>
              <w:rPr>
                <w:color w:val="333333"/>
                <w:sz w:val="18"/>
                <w:szCs w:val="18"/>
              </w:rPr>
              <w:t xml:space="preserve">Keycloak client_secret</w:t>
            </w:r>
          </w:p>
        </w:tc>
        <w:tc>
          <w:tcPr>
            <w:tcW w:w="3000" w:type="dxa"/>
            <w:tcBorders>
              <w:top w:val="single" w:sz="1" w:space="0" w:color="D0D4DC"/>
              <w:left w:val="single" w:sz="1" w:space="0" w:color="D0D4DC"/>
              <w:bottom w:val="single" w:sz="1" w:space="0" w:color="D0D4DC"/>
              <w:right w:val="single" w:sz="1" w:space="0" w:color="D0D4DC"/>
            </w:tcBorders>
            <w:shd w:val="clear" w:color="auto" w:fill="F2F4F7"/>
            <w:tcMar>
              <w:top w:w="80" w:type="dxa"/>
              <w:left w:w="120" w:type="dxa"/>
              <w:bottom w:w="80" w:type="dxa"/>
              <w:right w:w="120" w:type="dxa"/>
            </w:tcMar>
          </w:tcPr>
          <w:p w14:paraId="1CEB0084" w14:textId="77777777" w:rsidR="00D56334" w:rsidRDefault="00000000">
            <w:r>
              <w:rPr>
                <w:b/>
                <w:bCs/>
                <w:color w:val="333333"/>
                <w:sz w:val="18"/>
                <w:szCs w:val="18"/>
              </w:rPr>
              <w:t>Sensitive</w:t>
            </w:r>
          </w:p>
        </w:tc>
        <w:tc>
          <w:tcPr>
            <w:tcW w:w="2854" w:type="dxa"/>
            <w:tcBorders>
              <w:top w:val="single" w:sz="1" w:space="0" w:color="D0D4DC"/>
              <w:left w:val="single" w:sz="1" w:space="0" w:color="D0D4DC"/>
              <w:bottom w:val="single" w:sz="1" w:space="0" w:color="D0D4DC"/>
              <w:right w:val="single" w:sz="1" w:space="0" w:color="D0D4DC"/>
            </w:tcBorders>
            <w:shd w:val="clear" w:color="auto" w:fill="F2F4F7"/>
            <w:tcMar>
              <w:top w:w="80" w:type="dxa"/>
              <w:left w:w="120" w:type="dxa"/>
              <w:bottom w:w="80" w:type="dxa"/>
              <w:right w:w="120" w:type="dxa"/>
            </w:tcMar>
          </w:tcPr>
          <w:p w14:paraId="7E7F823E" w14:textId="77777777" w:rsidR="00D56334" w:rsidRDefault="00000000">
            <w:r>
              <w:rPr>
                <w:color w:val="333333"/>
                <w:sz w:val="18"/>
                <w:szCs w:val="18"/>
              </w:rPr>
              <w:t>Stored in environment variables only</w:t>
            </w:r>
          </w:p>
        </w:tc>
      </w:tr>
      <w:tr w:rsidR="00D56334" w14:paraId="18B6846C" w14:textId="77777777">
        <w:tblPrEx>
          <w:tblCellMar>
            <w:top w:w="0" w:type="dxa"/>
            <w:bottom w:w="0" w:type="dxa"/>
          </w:tblCellMar>
        </w:tblPrEx>
        <w:tc>
          <w:tcPr>
            <w:tcW w:w="35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3626505E" w14:textId="77777777" w:rsidR="00D56334" w:rsidRDefault="00000000">
            <w:r>
              <w:rPr>
                <w:color w:val="333333"/>
                <w:sz w:val="18"/>
                <w:szCs w:val="18"/>
              </w:rPr>
              <w:t>Canton validator credentials (Party ID format: stratalink-validator-1::1220...)</w:t>
            </w:r>
          </w:p>
        </w:tc>
        <w:tc>
          <w:tcPr>
            <w:tcW w:w="30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76E5F725" w14:textId="77777777" w:rsidR="00D56334" w:rsidRDefault="00000000">
            <w:r>
              <w:rPr>
                <w:b/>
                <w:bCs/>
                <w:color w:val="333333"/>
                <w:sz w:val="18"/>
                <w:szCs w:val="18"/>
              </w:rPr>
              <w:t>Sensitive</w:t>
            </w:r>
          </w:p>
        </w:tc>
        <w:tc>
          <w:tcPr>
            <w:tcW w:w="2854"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6F472DD7" w14:textId="77777777" w:rsidR="00D56334" w:rsidRDefault="00000000">
            <w:r>
              <w:rPr>
                <w:color w:val="333333"/>
                <w:sz w:val="18"/>
                <w:szCs w:val="18"/>
              </w:rPr>
              <w:t>Issued via Catalyst platform. Do not output full credential strings.</w:t>
            </w:r>
          </w:p>
        </w:tc>
      </w:tr>
      <w:tr w:rsidR="00D56334" w14:paraId="0A7355EF" w14:textId="77777777">
        <w:tblPrEx>
          <w:tblCellMar>
            <w:top w:w="0" w:type="dxa"/>
            <w:bottom w:w="0" w:type="dxa"/>
          </w:tblCellMar>
        </w:tblPrEx>
        <w:tc>
          <w:tcPr>
            <w:tcW w:w="3500" w:type="dxa"/>
            <w:tcBorders>
              <w:top w:val="single" w:sz="1" w:space="0" w:color="D0D4DC"/>
              <w:left w:val="single" w:sz="1" w:space="0" w:color="D0D4DC"/>
              <w:bottom w:val="single" w:sz="1" w:space="0" w:color="D0D4DC"/>
              <w:right w:val="single" w:sz="1" w:space="0" w:color="D0D4DC"/>
            </w:tcBorders>
            <w:shd w:val="clear" w:color="auto" w:fill="F2F4F7"/>
            <w:tcMar>
              <w:top w:w="80" w:type="dxa"/>
              <w:left w:w="120" w:type="dxa"/>
              <w:bottom w:w="80" w:type="dxa"/>
              <w:right w:w="120" w:type="dxa"/>
            </w:tcMar>
          </w:tcPr>
          <w:p w14:paraId="2D02EBB1" w14:textId="77777777" w:rsidR="00D56334" w:rsidRDefault="00000000">
            <w:r>
              <w:rPr>
                <w:color w:val="333333"/>
                <w:sz w:val="18"/>
                <w:szCs w:val="18"/>
              </w:rPr>
              <w:t>AWS billing account 472151629788</w:t>
            </w:r>
          </w:p>
        </w:tc>
        <w:tc>
          <w:tcPr>
            <w:tcW w:w="3000" w:type="dxa"/>
            <w:tcBorders>
              <w:top w:val="single" w:sz="1" w:space="0" w:color="D0D4DC"/>
              <w:left w:val="single" w:sz="1" w:space="0" w:color="D0D4DC"/>
              <w:bottom w:val="single" w:sz="1" w:space="0" w:color="D0D4DC"/>
              <w:right w:val="single" w:sz="1" w:space="0" w:color="D0D4DC"/>
            </w:tcBorders>
            <w:shd w:val="clear" w:color="auto" w:fill="F2F4F7"/>
            <w:tcMar>
              <w:top w:w="80" w:type="dxa"/>
              <w:left w:w="120" w:type="dxa"/>
              <w:bottom w:w="80" w:type="dxa"/>
              <w:right w:w="120" w:type="dxa"/>
            </w:tcMar>
          </w:tcPr>
          <w:p w14:paraId="6418B193" w14:textId="77777777" w:rsidR="00D56334" w:rsidRDefault="00000000">
            <w:r>
              <w:rPr>
                <w:b/>
                <w:bCs/>
                <w:color w:val="333333"/>
                <w:sz w:val="18"/>
                <w:szCs w:val="18"/>
              </w:rPr>
              <w:t>Financial infrastructure</w:t>
            </w:r>
          </w:p>
        </w:tc>
        <w:tc>
          <w:tcPr>
            <w:tcW w:w="2854" w:type="dxa"/>
            <w:tcBorders>
              <w:top w:val="single" w:sz="1" w:space="0" w:color="D0D4DC"/>
              <w:left w:val="single" w:sz="1" w:space="0" w:color="D0D4DC"/>
              <w:bottom w:val="single" w:sz="1" w:space="0" w:color="D0D4DC"/>
              <w:right w:val="single" w:sz="1" w:space="0" w:color="D0D4DC"/>
            </w:tcBorders>
            <w:shd w:val="clear" w:color="auto" w:fill="F2F4F7"/>
            <w:tcMar>
              <w:top w:w="80" w:type="dxa"/>
              <w:left w:w="120" w:type="dxa"/>
              <w:bottom w:w="80" w:type="dxa"/>
              <w:right w:w="120" w:type="dxa"/>
            </w:tcMar>
          </w:tcPr>
          <w:p w14:paraId="22615129" w14:textId="77777777" w:rsidR="00D56334" w:rsidRDefault="00000000">
            <w:r>
              <w:rPr>
                <w:color w:val="333333"/>
                <w:sz w:val="18"/>
                <w:szCs w:val="18"/>
              </w:rPr>
              <w:t>Flag but do not modify without explicit confirmation</w:t>
            </w:r>
          </w:p>
        </w:tc>
      </w:tr>
      <w:tr w:rsidR="00D56334" w14:paraId="059316E2" w14:textId="77777777">
        <w:tblPrEx>
          <w:tblCellMar>
            <w:top w:w="0" w:type="dxa"/>
            <w:bottom w:w="0" w:type="dxa"/>
          </w:tblCellMar>
        </w:tblPrEx>
        <w:tc>
          <w:tcPr>
            <w:tcW w:w="35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05B4629B" w14:textId="77777777" w:rsidR="00D56334" w:rsidRDefault="00000000">
            <w:r>
              <w:rPr>
                <w:color w:val="333333"/>
                <w:sz w:val="18"/>
                <w:szCs w:val="18"/>
              </w:rPr>
              <w:t>finance@stratalink.ai alias</w:t>
            </w:r>
          </w:p>
        </w:tc>
        <w:tc>
          <w:tcPr>
            <w:tcW w:w="3000"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7437914C" w14:textId="77777777" w:rsidR="00D56334" w:rsidRDefault="00000000">
            <w:r>
              <w:rPr>
                <w:b/>
                <w:bCs/>
                <w:color w:val="333333"/>
                <w:sz w:val="18"/>
                <w:szCs w:val="18"/>
              </w:rPr>
              <w:t>Financial infrastructure</w:t>
            </w:r>
          </w:p>
        </w:tc>
        <w:tc>
          <w:tcPr>
            <w:tcW w:w="2854" w:type="dxa"/>
            <w:tcBorders>
              <w:top w:val="single" w:sz="1" w:space="0" w:color="D0D4DC"/>
              <w:left w:val="single" w:sz="1" w:space="0" w:color="D0D4DC"/>
              <w:bottom w:val="single" w:sz="1" w:space="0" w:color="D0D4DC"/>
              <w:right w:val="single" w:sz="1" w:space="0" w:color="D0D4DC"/>
            </w:tcBorders>
            <w:tcMar>
              <w:top w:w="80" w:type="dxa"/>
              <w:left w:w="120" w:type="dxa"/>
              <w:bottom w:w="80" w:type="dxa"/>
              <w:right w:w="120" w:type="dxa"/>
            </w:tcMar>
          </w:tcPr>
          <w:p w14:paraId="12CE0B45" w14:textId="77777777" w:rsidR="00D56334" w:rsidRDefault="00000000">
            <w:r>
              <w:rPr>
                <w:color w:val="333333"/>
                <w:sz w:val="18"/>
                <w:szCs w:val="18"/>
              </w:rPr>
              <w:t>Flag but do not modify without explicit confirmation</w:t>
            </w:r>
          </w:p>
        </w:tc>
      </w:tr>
    </w:tbl>
    <w:p w14:paraId="76E19425" w14:textId="77777777" w:rsidR="00040009" w:rsidRDefault="00040009"/>
    <w:sectPr w:rsidR="00040009">
      <w:headerReference w:type="default" r:id="rId7"/>
      <w:footerReference w:type="default" r:id="rId8"/>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B6C731" w14:textId="77777777" w:rsidR="00040009" w:rsidRDefault="00040009">
      <w:r>
        <w:separator/>
      </w:r>
    </w:p>
  </w:endnote>
  <w:endnote w:type="continuationSeparator" w:id="0">
    <w:p w14:paraId="1B9C85E3" w14:textId="77777777" w:rsidR="00040009" w:rsidRDefault="000400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C988ED" w14:textId="77777777" w:rsidR="00D56334" w:rsidRDefault="00000000">
    <w:pPr>
      <w:pBdr>
        <w:top w:val="single" w:sz="4" w:space="1" w:color="D0D4DC"/>
      </w:pBdr>
      <w:jc w:val="center"/>
    </w:pPr>
    <w:r>
      <w:rPr>
        <w:color w:val="D0D4DC"/>
        <w:sz w:val="16"/>
        <w:szCs w:val="16"/>
      </w:rPr>
      <w:t>Stratalink Labs Ltd  |  Confidential  |  SOW #USGTC 20260010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E24001" w14:textId="77777777" w:rsidR="00040009" w:rsidRDefault="00040009">
      <w:r>
        <w:separator/>
      </w:r>
    </w:p>
  </w:footnote>
  <w:footnote w:type="continuationSeparator" w:id="0">
    <w:p w14:paraId="52B57821" w14:textId="77777777" w:rsidR="00040009" w:rsidRDefault="000400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967282" w14:textId="77777777" w:rsidR="00D56334" w:rsidRDefault="00000000">
    <w:pPr>
      <w:pBdr>
        <w:bottom w:val="single" w:sz="6" w:space="1" w:color="C9A84C"/>
      </w:pBdr>
    </w:pPr>
    <w:r>
      <w:rPr>
        <w:b/>
        <w:bCs/>
        <w:color w:val="0D1E3A"/>
        <w:sz w:val="18"/>
        <w:szCs w:val="18"/>
      </w:rPr>
      <w:t>STRATALINK</w:t>
    </w:r>
    <w:r>
      <w:rPr>
        <w:color w:val="1B4F8A"/>
        <w:sz w:val="18"/>
        <w:szCs w:val="18"/>
      </w:rPr>
      <w:t xml:space="preserve">  |  PoLi Oracle Build Action Plan  |  23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3F977E8"/>
    <w:multiLevelType w:val="hybridMultilevel"/>
    <w:tmpl w:val="7FDCBB8E"/>
    <w:lvl w:ilvl="0" w:tplc="E0A602F4">
      <w:start w:val="1"/>
      <w:numFmt w:val="bullet"/>
      <w:lvlText w:val="●"/>
      <w:lvlJc w:val="left"/>
      <w:pPr>
        <w:ind w:left="720" w:hanging="360"/>
      </w:pPr>
    </w:lvl>
    <w:lvl w:ilvl="1" w:tplc="B0E4A72C">
      <w:start w:val="1"/>
      <w:numFmt w:val="bullet"/>
      <w:lvlText w:val="○"/>
      <w:lvlJc w:val="left"/>
      <w:pPr>
        <w:ind w:left="1440" w:hanging="360"/>
      </w:pPr>
    </w:lvl>
    <w:lvl w:ilvl="2" w:tplc="CE841526">
      <w:start w:val="1"/>
      <w:numFmt w:val="bullet"/>
      <w:lvlText w:val="■"/>
      <w:lvlJc w:val="left"/>
      <w:pPr>
        <w:ind w:left="2160" w:hanging="360"/>
      </w:pPr>
    </w:lvl>
    <w:lvl w:ilvl="3" w:tplc="C3922B86">
      <w:start w:val="1"/>
      <w:numFmt w:val="bullet"/>
      <w:lvlText w:val="●"/>
      <w:lvlJc w:val="left"/>
      <w:pPr>
        <w:ind w:left="2880" w:hanging="360"/>
      </w:pPr>
    </w:lvl>
    <w:lvl w:ilvl="4" w:tplc="2B9E94A6">
      <w:start w:val="1"/>
      <w:numFmt w:val="bullet"/>
      <w:lvlText w:val="○"/>
      <w:lvlJc w:val="left"/>
      <w:pPr>
        <w:ind w:left="3600" w:hanging="360"/>
      </w:pPr>
    </w:lvl>
    <w:lvl w:ilvl="5" w:tplc="301A9ABA">
      <w:start w:val="1"/>
      <w:numFmt w:val="bullet"/>
      <w:lvlText w:val="■"/>
      <w:lvlJc w:val="left"/>
      <w:pPr>
        <w:ind w:left="4320" w:hanging="360"/>
      </w:pPr>
    </w:lvl>
    <w:lvl w:ilvl="6" w:tplc="77300212">
      <w:start w:val="1"/>
      <w:numFmt w:val="bullet"/>
      <w:lvlText w:val="●"/>
      <w:lvlJc w:val="left"/>
      <w:pPr>
        <w:ind w:left="5040" w:hanging="360"/>
      </w:pPr>
    </w:lvl>
    <w:lvl w:ilvl="7" w:tplc="EDF2DBBE">
      <w:start w:val="1"/>
      <w:numFmt w:val="bullet"/>
      <w:lvlText w:val="●"/>
      <w:lvlJc w:val="left"/>
      <w:pPr>
        <w:ind w:left="5760" w:hanging="360"/>
      </w:pPr>
    </w:lvl>
    <w:lvl w:ilvl="8" w:tplc="9CB44DC4">
      <w:start w:val="1"/>
      <w:numFmt w:val="bullet"/>
      <w:lvlText w:val="●"/>
      <w:lvlJc w:val="left"/>
      <w:pPr>
        <w:ind w:left="6480" w:hanging="360"/>
      </w:pPr>
    </w:lvl>
  </w:abstractNum>
  <w:num w:numId="1" w16cid:durableId="189322795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334"/>
    <w:rsid w:val="00040009"/>
    <w:rsid w:val="00D56334"/>
    <w:rsid w:val="00F03063"/>
    <w:rsid w:val="00FE7C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E88AD6F"/>
  <w15:docId w15:val="{7E8BBC54-4FDF-E741-A2EE-0FE5D7974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D1E3A"/>
      <w:sz w:val="32"/>
      <w:szCs w:val="32"/>
    </w:rPr>
  </w:style>
  <w:style w:type="paragraph" w:styleId="Heading2">
    <w:name w:val="heading 2"/>
    <w:uiPriority w:val="9"/>
    <w:semiHidden/>
    <w:unhideWhenUsed/>
    <w:qFormat/>
    <w:pPr>
      <w:spacing w:before="240" w:after="120"/>
      <w:outlineLvl w:val="1"/>
    </w:pPr>
    <w:rPr>
      <w:b/>
      <w:bCs/>
      <w:color w:val="1B4F8A"/>
      <w:sz w:val="26"/>
      <w:szCs w:val="26"/>
    </w:rPr>
  </w:style>
  <w:style w:type="paragraph" w:styleId="Heading3">
    <w:name w:val="heading 3"/>
    <w:uiPriority w:val="9"/>
    <w:semiHidden/>
    <w:unhideWhenUsed/>
    <w:qFormat/>
    <w:pPr>
      <w:spacing w:before="180" w:after="100"/>
      <w:outlineLvl w:val="2"/>
    </w:pPr>
    <w:rPr>
      <w:b/>
      <w:bCs/>
      <w:color w:val="1A7A8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1467</Words>
  <Characters>8367</Characters>
  <Application>Microsoft Office Word</Application>
  <DocSecurity>0</DocSecurity>
  <Lines>69</Lines>
  <Paragraphs>19</Paragraphs>
  <ScaleCrop>false</ScaleCrop>
  <Company/>
  <LinksUpToDate>false</LinksUpToDate>
  <CharactersWithSpaces>9815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N. McDermott</cp:lastModifiedBy>
  <cp:revision>2</cp:revision>
  <dcterms:created xsi:type="dcterms:W3CDTF">2026-06-23T16:49:00Z</dcterms:created>
  <dcterms:modified xsi:type="dcterms:W3CDTF">2026-06-23T16:49:00Z</dcterms:modified>
</cp:coreProperties>
</file>