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STRATALINK LABS LTD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TILT - The Institutional Liquidity Truth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Cross-Venue Comparison Report</w:t>
      </w:r>
    </w:p>
    <w:p>
      <w:pPr>
        <w:spacing w:after="20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BTC-USD Venue-Level Liquidity Analysis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Report 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 June 2026, 15:42 UTC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Jurisdiction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ADGM / FSRA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Classification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Confidential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CVC-BTC-20260628-001</w:t>
            </w:r>
          </w:p>
        </w:tc>
      </w:tr>
    </w:tbl>
    <w:p>
      <w:pPr>
        <w:spacing w:after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856404" w:sz="1"/>
              <w:left w:val="single" w:color="856404" w:sz="6"/>
              <w:bottom w:val="single" w:color="856404" w:sz="1"/>
              <w:right w:val="single" w:color="856404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This report is generated from independently verified, cross-venue data. All values are derived from the Stratalink Liquidity Truth Stack. This report is for supervisory use only and does not constitute financial advice.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Assessment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Token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BTC-USD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ILU Category: Reserve Asset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Active Venues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Coverage: 100%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Aggregate Depth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$14.2M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 10 bps threshold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Average Spread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0.8 bps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Within institutional bounds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Spread Dispersion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1.2 bps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 cross-venue divergence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Fragmentation Index (HHI)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0.21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 concentration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Price Leadership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Binance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Offshore venue leading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Venue Comparison Table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Full venue-level comparison showing depth, spread, PoLi score, stability, and regulatory status for each active venue.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0"/>
        <w:gridCol w:w="1360"/>
        <w:gridCol w:w="1160"/>
        <w:gridCol w:w="1160"/>
        <w:gridCol w:w="1160"/>
        <w:gridCol w:w="1160"/>
        <w:gridCol w:w="1160"/>
        <w:gridCol w:w="946"/>
      </w:tblGrid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Venue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Depth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% Share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PoLi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Regulated</w:t>
            </w:r>
          </w:p>
        </w:tc>
        <w:tc>
          <w:tcPr>
            <w:tcW w:type="dxa" w:w="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Binance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CEX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$4.8M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33.8%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0.6 bps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GREEN</w:t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Coinbase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CEX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$3.2M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22.5%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0.9 bps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87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GREEN</w:t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Kraken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CEX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$2.1M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14.8%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1.1 bps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84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GREEN</w:t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OKX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CEX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$1.9M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13.4%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1.2 bps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GREEN</w:t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Bybit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CEX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$1.4M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9.9%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1.8 bps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AMBER</w:t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Hyperliquid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DEX-CLOB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$0.8M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5.6%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2.1 bps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AMBER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Concentration Analysis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Assessment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Top venue share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33.8% (Binance)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Below 60% threshold. No concentration risk.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Top 2 venues share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56.3%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Healthy distribution across two venues.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Top 3 venues share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71.1%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Good diversification. Three venues cover majority of depth.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Regulated venue share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37.3%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Coinbase and Kraken. Remainder is offshore.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DEX venue share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5.6%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Hyperliquid only. Low decentralised venue contribution.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Spread Analysis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Venue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Spread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vs Average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Assessment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Binance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0.6 bps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-0.2 bps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Tightest spread. Price leader.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Coinbase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0.9 bps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+0.1 bps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Within normal range.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Kraken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1.1 bps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+0.3 bps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Within normal range.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OKX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1.2 bps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+0.4 bps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Within normal range.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Bybit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1.8 bps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+1.0 bps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Above average. Monitor.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Hyperliquid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2.1 bps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+1.3 bps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Widest spread. DEX premium.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Cross-venue spread dispersion: 1.2 bps. This is within the normal threshold (3.0 bps for elevated, 8.0 bps for critical). Arbitrage mechanisms are functioning effectively.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Regulatory Venue Classification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Venue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Jurisdiction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Regulated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ADGM Licensed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Binance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Offshore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Coinbase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 (State-level)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Kraken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 (State-level)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OKX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Seychelles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Bybit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Dubai (VARA)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Hyperliquid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Decentralised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Regulatory note: 37.3% of monitored depth for BTC-USD is provided by regulated venues (Coinbase, Kraken). The remaining 62.7% is from offshore or unregulated venues. 93% of total depth is classified as offshore. This regulatory distribution is typical for BTC-USD and reflects the current global market structure.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Data Provenance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6338"/>
      </w:tblGrid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Snapshot Timestamp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 June 2026, 15:42:18 UTC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Venues Compared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 active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Depth Threshold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 bps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CVC Reference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cvc-1782496029-m2np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RCL Contract Version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rcl_v0.2</w:t>
            </w:r>
          </w:p>
        </w:tc>
      </w:tr>
    </w:tbl>
    <w:p>
      <w:pPr>
        <w:spacing w:after="80"/>
      </w:pPr>
    </w:p>
    <w:p>
      <w:r>
        <w:rPr>
          <w:rFonts w:ascii="Arial" w:cs="Arial" w:eastAsia="Arial" w:hAnsi="Arial"/>
          <w:color w:val="999999"/>
          <w:sz w:val="16"/>
          <w:szCs w:val="16"/>
        </w:rPr>
        <w:t xml:space="preserve">Report Reference: CVC-BTC-20260628-001 | Generated by TILT | Stratalink Labs Ltd | Confidential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2026-06-28T15:09:54.389Z</dcterms:created>
  <dcterms:modified xsi:type="dcterms:W3CDTF">2026-06-28T15:09:54.389Z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