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STRATALINK LABS LTD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TILT - The Institutional Liquidity Truth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Monthly Supervisory Overview</w:t>
      </w:r>
    </w:p>
    <w:p>
      <w:pPr>
        <w:spacing w:after="2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ADGM/FSRA Digital Asset Market Monitoring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June 2026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Jurisdiction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ADGM / FSRA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Confidential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MSO-202606-001</w:t>
            </w:r>
          </w:p>
        </w:tc>
      </w:tr>
    </w:tbl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856404" w:sz="1"/>
              <w:left w:val="single" w:color="856404" w:sz="6"/>
              <w:bottom w:val="single" w:color="856404" w:sz="1"/>
              <w:right w:val="single" w:color="856404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This report is generated from independently verified, cross-venue data. All values are derived from the Stratalink Liquidity Truth Stack. This report is for supervisory use only and does not constitute financial advice.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monthly overview covers the supervised portfolio of five ILU-20 tokens monitored by TILT for ADGM/FSRA during June 2026. The portfolio comprised Bitcoin (BTC), Ethereum (ETH), Solana (SOL), XRP, and Avalanche (AVAX).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Overall portfolio health remained stable for the three largest assets (BTC, ETH, XRP). Solana experienced moderate liquidity deterioration in the second half of the month, shifting from A-rated to BBB-rated liquidity. Avalanche experienced significant liquidity stress in the final week, dropping below the institutional liquidity threshold to B-rated, with cross-venue spread divergence and single-venue concentration risk.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Month-End Portfolio Status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6"/>
      </w:tblGrid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 Score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Score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Rating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BTC-USD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85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88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ETH-USD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79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82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-12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BBB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DECLINING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XRP-USD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69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A-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AVAX-USD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62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47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-15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STRESSED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Alert Activity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Comparison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Trend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alerts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 (first month)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Baseline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severity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Baseline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severity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Baseline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severity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Baseline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Tokens affected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of 5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SOL, AVAX, ETH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STRATA AI Monthly Intelligence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Total detection signals: 87. The majority (52) were generated by AVAX-USD during the final week. SOL-USD generated 21 signals. BTC-USD, ETH-USD, and XRP-USD generated 14 combined, predominantly transient depth drops that self-resolved.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 wash trading, spoofing, or layering patterns were detected during the reporting period. The primary integrity concerns were liquidity concentration (single-venue dominance for AVAX) and cross-venue spread divergence.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Venue Reliability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14 configured venue relays maintained above 98% uptime during the month. Average ingestion latency across all venues was 55ms (p95). Total data gaps across all venues: 14 (all transient, none exceeding 60 seconds). No venue experienced a sustained outage during the reporting period.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Regulatory Observations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AVAX-USD's liquidity profile deteriorated significantly during June. The token's depth became increasingly concentrated in Binance (reaching 50% of total monitored depth by month-end), creating a single-venue dependency that undermines the cross-venue verification model. If AVAX is within ADGM's supervisory scope, this concentration pattern warrants supervisory attention, particularly regarding the licensed venue's reported liquidity versus independently verified depth.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broader ILU-20 portfolio (beyond the five supervised tokens) showed stable conditions. The stablecoin infrastructure category (USDT, USDC, DAI) maintained AAA/AA ratings throughout the month, indicating healthy settlement layer conditions.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System Performance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uptime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99.7%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99.5%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Average data latency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55ms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200ms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 scoring availability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99.9%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 delivery on-time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Recommendations for Next Period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Maintain elevated monitoring on AVAX-USD. Consider engaging with ADGM's supervisory team to determine whether the concentration risk pattern warrants direct venue engagement.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Monitor SOL-USD trajectory. If the declining trend continues, it may cross below the institutional threshold during July.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Review whether additional ILU-20 tokens should be added to the ADGM supervised subset based on the first month's operational experience.</w:t>
      </w:r>
    </w:p>
    <w:p>
      <w:pPr>
        <w:spacing w:after="80"/>
      </w:pPr>
    </w:p>
    <w:p>
      <w:r>
        <w:rPr>
          <w:rFonts w:ascii="Arial" w:cs="Arial" w:eastAsia="Arial" w:hAnsi="Arial"/>
          <w:color w:val="999999"/>
          <w:sz w:val="16"/>
          <w:szCs w:val="16"/>
        </w:rPr>
        <w:t xml:space="preserve">Report Reference: MSO-202606-001 | Generated by TILT | Stratalink Labs Ltd | Confidential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2026-06-28T12:31:24.632Z</dcterms:created>
  <dcterms:modified xsi:type="dcterms:W3CDTF">2026-06-28T12:31:24.632Z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