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color w:val="666666"/>
          <w:sz w:val="20"/>
          <w:szCs w:val="20"/>
        </w:rPr>
        <w:t xml:space="preserve">STRATALINK LABS LTD</w:t>
      </w:r>
    </w:p>
    <w:p>
      <w:pPr>
        <w:spacing w:after="120"/>
        <w:jc w:val="center"/>
      </w:pPr>
      <w:r>
        <w:rPr>
          <w:rFonts w:ascii="Arial" w:cs="Arial" w:eastAsia="Arial" w:hAnsi="Arial"/>
          <w:b/>
          <w:bCs/>
          <w:sz w:val="44"/>
          <w:szCs w:val="44"/>
        </w:rPr>
        <w:t xml:space="preserve">ADGM/FSRA Pilot</w:t>
      </w:r>
    </w:p>
    <w:p>
      <w:pPr>
        <w:spacing w:after="120"/>
        <w:jc w:val="center"/>
      </w:pPr>
      <w:r>
        <w:rPr>
          <w:rFonts w:ascii="Arial" w:cs="Arial" w:eastAsia="Arial" w:hAnsi="Arial"/>
          <w:b/>
          <w:bCs/>
          <w:sz w:val="36"/>
          <w:szCs w:val="36"/>
        </w:rPr>
        <w:t xml:space="preserve">Framing Document</w:t>
      </w:r>
    </w:p>
    <w:p>
      <w:pPr>
        <w:spacing w:after="400"/>
        <w:jc w:val="center"/>
      </w:pPr>
      <w:r>
        <w:rPr>
          <w:rFonts w:ascii="Arial" w:cs="Arial" w:eastAsia="Arial" w:hAnsi="Arial"/>
          <w:color w:val="666666"/>
          <w:sz w:val="22"/>
          <w:szCs w:val="22"/>
        </w:rPr>
        <w:t xml:space="preserve">Regulatory Use Case, Demo Structure, Codebase Consolidation, TILT Development, and Pilot Scoping</w:t>
      </w:r>
    </w:p>
    <w:p>
      <w:pPr>
        <w:spacing w:after="8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Document</w:t>
            </w:r>
          </w:p>
        </w:tc>
        <w:tc>
          <w:tcPr>
            <w:tcW w:type="dxa" w:w="6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Internal Framing Document</w:t>
            </w:r>
          </w:p>
        </w:tc>
      </w:tr>
      <w:tr>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Version</w:t>
            </w:r>
          </w:p>
        </w:tc>
        <w:tc>
          <w:tcPr>
            <w:tcW w:type="dxa" w:w="670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3.0 (Strip-List Reconciled)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Date</w:t>
            </w:r>
          </w:p>
        </w:tc>
        <w:tc>
          <w:tcPr>
            <w:tcW w:type="dxa" w:w="6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June 2026</w:t>
            </w:r>
          </w:p>
        </w:tc>
      </w:tr>
      <w:tr>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Author</w:t>
            </w:r>
          </w:p>
        </w:tc>
        <w:tc>
          <w:tcPr>
            <w:tcW w:type="dxa" w:w="670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Rob McDermott, Founder and CEO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Classification</w:t>
            </w:r>
          </w:p>
        </w:tc>
        <w:tc>
          <w:tcPr>
            <w:tcW w:type="dxa" w:w="6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Confidential</w:t>
            </w:r>
          </w:p>
        </w:tc>
      </w:tr>
      <w:tr>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2"/>
                <w:szCs w:val="22"/>
              </w:rPr>
              <w:t xml:space="preserve">Status</w:t>
            </w:r>
          </w:p>
        </w:tc>
        <w:tc>
          <w:tcPr>
            <w:tcW w:type="dxa" w:w="670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Working Draft</w:t>
            </w:r>
          </w:p>
        </w:tc>
      </w:tr>
    </w:tbl>
    <w:p>
      <w:pPr>
        <w:spacing w:before="4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856404" w:sz="1"/>
              <w:left w:val="single" w:color="856404" w:sz="6"/>
              <w:bottom w:val="single" w:color="856404" w:sz="1"/>
              <w:right w:val="single" w:color="856404" w:sz="1"/>
            </w:tcBorders>
            <w:shd w:fill="FFF3CD" w:val="clear"/>
            <w:tcMar>
              <w:top w:type="dxa" w:w="120"/>
              <w:left w:type="dxa" w:w="200"/>
              <w:bottom w:type="dxa" w:w="120"/>
              <w:right w:type="dxa" w:w="200"/>
            </w:tcMar>
          </w:tcPr>
          <w:p>
            <w:r>
              <w:rPr>
                <w:rFonts w:ascii="Arial" w:cs="Arial" w:eastAsia="Arial" w:hAnsi="Arial"/>
                <w:i/>
                <w:iCs/>
                <w:sz w:val="22"/>
                <w:szCs w:val="22"/>
              </w:rPr>
              <w:t xml:space="preserve">This document is an internal working document for Stratalink Labs. It incorporates the TILT Strip-List v1.0 (11 May 2026) decisions, reconciled against the now-confirmed ADGM pilot engagement. It supersedes v2.0 of this framing document and should be read alongside the Strip-List for full file-level detail.</w:t>
            </w:r>
          </w:p>
        </w:tc>
      </w:tr>
    </w:tbl>
    <w:p>
      <w:r>
        <w:br w:type="page"/>
      </w:r>
    </w:p>
    <w:p>
      <w:pPr>
        <w:pStyle w:val="Heading1"/>
        <w:spacing w:after="200" w:before="360"/>
      </w:pPr>
      <w:r>
        <w:rPr>
          <w:rFonts w:ascii="Arial" w:cs="Arial" w:eastAsia="Arial" w:hAnsi="Arial"/>
          <w:b/>
          <w:bCs/>
          <w:sz w:val="32"/>
          <w:szCs w:val="32"/>
        </w:rPr>
        <w:t xml:space="preserve">1. Context and Objective</w:t>
      </w:r>
    </w:p>
    <w:p>
      <w:pPr>
        <w:pStyle w:val="Heading2"/>
        <w:spacing w:after="160" w:before="280"/>
      </w:pPr>
      <w:r>
        <w:rPr>
          <w:rFonts w:ascii="Arial" w:cs="Arial" w:eastAsia="Arial" w:hAnsi="Arial"/>
          <w:b/>
          <w:bCs/>
          <w:sz w:val="28"/>
          <w:szCs w:val="28"/>
        </w:rPr>
        <w:t xml:space="preserve">1.1 Where We Are</w:t>
      </w:r>
    </w:p>
    <w:p>
      <w:pPr>
        <w:spacing w:after="160"/>
      </w:pPr>
      <w:r>
        <w:rPr>
          <w:rFonts w:ascii="Arial" w:cs="Arial" w:eastAsia="Arial" w:hAnsi="Arial"/>
          <w:sz w:val="22"/>
          <w:szCs w:val="22"/>
        </w:rPr>
        <w:t xml:space="preserve">Brian Byagaba (Director, Fintech, FSRA) responded positively on 23 June 2026 and has brought in two ADGM colleagues: Suha Al Mubarak and Shengliang Lu. The ADGM demo call is confirmed for Thursday 2 July 2026 at 4pm UAE time. Separately, the IntellectEU Canton code acceptance window closes approximately 8 July 2026 (15 business days per SOW Amendment A4). These two deadlines are eight days apart and share the same codebase.</w:t>
      </w:r>
    </w:p>
    <w:p>
      <w:pPr>
        <w:pStyle w:val="Heading2"/>
        <w:spacing w:after="160" w:before="280"/>
      </w:pPr>
      <w:r>
        <w:rPr>
          <w:rFonts w:ascii="Arial" w:cs="Arial" w:eastAsia="Arial" w:hAnsi="Arial"/>
          <w:b/>
          <w:bCs/>
          <w:sz w:val="28"/>
          <w:szCs w:val="28"/>
        </w:rPr>
        <w:t xml:space="preserve">1.2 The Two Deadlines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2"/>
                <w:szCs w:val="22"/>
              </w:rPr>
              <w:t xml:space="preserve">Deadline</w:t>
            </w:r>
          </w:p>
        </w:tc>
        <w:tc>
          <w:tcPr>
            <w:tcW w:type="dxa" w:w="3168"/>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2"/>
                <w:szCs w:val="22"/>
              </w:rPr>
              <w:t xml:space="preserve">Date</w:t>
            </w:r>
          </w:p>
        </w:tc>
        <w:tc>
          <w:tcPr>
            <w:tcW w:type="dxa" w:w="317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2"/>
                <w:szCs w:val="22"/>
              </w:rPr>
              <w:t xml:space="preserve">What Must Be Ready</w:t>
            </w:r>
          </w:p>
        </w:tc>
      </w:tr>
      <w:tr>
        <w:tc>
          <w:tcPr>
            <w:tcW w:type="dxa" w:w="316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ADGM demo call</w:t>
            </w:r>
          </w:p>
        </w:tc>
        <w:tc>
          <w:tcPr>
            <w:tcW w:type="dxa" w:w="316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 July 2026</w:t>
            </w:r>
          </w:p>
        </w:tc>
        <w:tc>
          <w:tcPr>
            <w:tcW w:type="dxa" w:w="3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TILT running with live data. Storyboard walkthrough. RCL view demonstrable (mock data acceptable if verbally framed as pilot build-out). Scoping questions prepared.</w:t>
            </w:r>
          </w:p>
        </w:tc>
      </w:tr>
      <w:tr>
        <w:tc>
          <w:tcPr>
            <w:tcW w:type="dxa" w:w="3168"/>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Canton code acceptance</w:t>
            </w:r>
          </w:p>
        </w:tc>
        <w:tc>
          <w:tcPr>
            <w:tcW w:type="dxa" w:w="3168"/>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~8 July 2026</w:t>
            </w:r>
          </w:p>
        </w:tc>
        <w:tc>
          <w:tcPr>
            <w:tcW w:type="dxa" w:w="317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PoLi-STD-1.1 scoring engine, Oracle Adapter signing layer, Canton DevNet integration tested against Amendment A4 five-point acceptance criteria.</w:t>
            </w:r>
          </w:p>
        </w:tc>
      </w:tr>
    </w:tbl>
    <w:p>
      <w:pPr>
        <w:spacing w:after="80"/>
      </w:pPr>
    </w:p>
    <w:p>
      <w:pPr>
        <w:spacing w:after="160"/>
      </w:pPr>
      <w:r>
        <w:rPr>
          <w:rFonts w:ascii="Arial" w:cs="Arial" w:eastAsia="Arial" w:hAnsi="Arial"/>
          <w:sz w:val="22"/>
          <w:szCs w:val="22"/>
        </w:rPr>
        <w:t xml:space="preserve">The sequencing principle is: ADGM pilot readiness first, Canton integration layered underneath. The ADGM demo does not require on-chain attestation to be live. It requires a working dashboard, working scores, and a credible demonstration of the regulatory use case. The Canton attestation pipeline adds the cryptographic verification layer and can be demonstrated to ADGM during the pilot as it comes online.</w:t>
      </w:r>
    </w:p>
    <w:p>
      <w:pPr>
        <w:pStyle w:val="Heading2"/>
        <w:spacing w:after="160" w:before="280"/>
      </w:pPr>
      <w:r>
        <w:rPr>
          <w:rFonts w:ascii="Arial" w:cs="Arial" w:eastAsia="Arial" w:hAnsi="Arial"/>
          <w:b/>
          <w:bCs/>
          <w:sz w:val="28"/>
          <w:szCs w:val="28"/>
        </w:rPr>
        <w:t xml:space="preserve">1.3 What This Document Does</w:t>
      </w:r>
    </w:p>
    <w:p>
      <w:pPr>
        <w:spacing w:after="160"/>
      </w:pPr>
      <w:r>
        <w:rPr>
          <w:rFonts w:ascii="Arial" w:cs="Arial" w:eastAsia="Arial" w:hAnsi="Arial"/>
          <w:sz w:val="22"/>
          <w:szCs w:val="22"/>
        </w:rPr>
        <w:t xml:space="preserve">This document serves five purposes. First, it defines the regulatory use case (three operating modes). Second, it structures the demo and talk track for the 2 July call. Third, it reconciles the Strip-List v1.0 codebase cleanup decisions against the now-confirmed ADGM pilot, determining what gets deleted, what stays, and what gets rebuilt. Fourth, it sequences the development work across three phases (pre-demo, Canton acceptance, convergence). Fifth, it provides a scoping checklist for the call.</w:t>
      </w:r>
    </w:p>
    <w:p>
      <w:pPr>
        <w:pStyle w:val="Heading2"/>
        <w:spacing w:after="160" w:before="280"/>
      </w:pPr>
      <w:r>
        <w:rPr>
          <w:rFonts w:ascii="Arial" w:cs="Arial" w:eastAsia="Arial" w:hAnsi="Arial"/>
          <w:b/>
          <w:bCs/>
          <w:sz w:val="28"/>
          <w:szCs w:val="28"/>
        </w:rPr>
        <w:t xml:space="preserve">1.4 The Core Question This Must Answer</w:t>
      </w:r>
    </w:p>
    <w:p>
      <w:pPr>
        <w:spacing w:after="160"/>
      </w:pPr>
      <w:r>
        <w:rPr>
          <w:rFonts w:ascii="Arial" w:cs="Arial" w:eastAsia="Arial" w:hAnsi="Arial"/>
          <w:sz w:val="22"/>
          <w:szCs w:val="22"/>
        </w:rPr>
        <w:t xml:space="preserve">From Brian's perspective: </w:t>
      </w:r>
      <w:r>
        <w:rPr>
          <w:rFonts w:ascii="Arial" w:cs="Arial" w:eastAsia="Arial" w:hAnsi="Arial"/>
          <w:i/>
          <w:iCs/>
          <w:sz w:val="22"/>
          <w:szCs w:val="22"/>
        </w:rPr>
        <w:t xml:space="preserve">as a regulator, what do I get by using Stratalink, how will I use it day-to-day, what reports will I receive, how will it help me and my team perform our regulatory duties, and what benefits will I gain that I do not get today?</w:t>
      </w:r>
    </w:p>
    <w:p>
      <w:r>
        <w:br w:type="page"/>
      </w:r>
    </w:p>
    <w:p>
      <w:pPr>
        <w:pStyle w:val="Heading1"/>
        <w:spacing w:after="200" w:before="360"/>
      </w:pPr>
      <w:r>
        <w:rPr>
          <w:rFonts w:ascii="Arial" w:cs="Arial" w:eastAsia="Arial" w:hAnsi="Arial"/>
          <w:b/>
          <w:bCs/>
          <w:sz w:val="32"/>
          <w:szCs w:val="32"/>
        </w:rPr>
        <w:t xml:space="preserve">2. The Regulatory Gap</w:t>
      </w:r>
    </w:p>
    <w:p>
      <w:pPr>
        <w:spacing w:after="160"/>
      </w:pPr>
      <w:r>
        <w:rPr>
          <w:rFonts w:ascii="Arial" w:cs="Arial" w:eastAsia="Arial" w:hAnsi="Arial"/>
          <w:sz w:val="22"/>
          <w:szCs w:val="22"/>
        </w:rPr>
        <w:t xml:space="preserve">ADGM supervises licensed digital asset activities, including exchanges and token issuers operating under the FSRA framework. Today, every piece of market data ADGM receives about supervised tokens comes from the venues ADGM is responsible for supervising. This is a structural conflict of interest.</w:t>
      </w:r>
    </w:p>
    <w:p>
      <w:pPr>
        <w:spacing w:after="160"/>
      </w:pPr>
      <w:r>
        <w:rPr>
          <w:rFonts w:ascii="Arial" w:cs="Arial" w:eastAsia="Arial" w:hAnsi="Arial"/>
          <w:sz w:val="22"/>
          <w:szCs w:val="22"/>
        </w:rPr>
        <w:t xml:space="preserve">There is no independent, cross-venue visibility into whether the liquidity reported for a supervised token is genuine, manipulated, or thin. Stratalink does not replace ADGM's supervisory judgement. It gives the supervisory team the independent data infrastructure they need to exercise that judgement effectively.</w:t>
      </w:r>
    </w:p>
    <w:p>
      <w:r>
        <w:br w:type="page"/>
      </w:r>
    </w:p>
    <w:p>
      <w:pPr>
        <w:pStyle w:val="Heading1"/>
        <w:spacing w:after="200" w:before="360"/>
      </w:pPr>
      <w:r>
        <w:rPr>
          <w:rFonts w:ascii="Arial" w:cs="Arial" w:eastAsia="Arial" w:hAnsi="Arial"/>
          <w:b/>
          <w:bCs/>
          <w:sz w:val="32"/>
          <w:szCs w:val="32"/>
        </w:rPr>
        <w:t xml:space="preserve">3. Three Regulatory Operating Modes</w:t>
      </w:r>
    </w:p>
    <w:p>
      <w:pPr>
        <w:spacing w:after="160"/>
      </w:pPr>
      <w:r>
        <w:rPr>
          <w:rFonts w:ascii="Arial" w:cs="Arial" w:eastAsia="Arial" w:hAnsi="Arial"/>
          <w:sz w:val="22"/>
          <w:szCs w:val="22"/>
        </w:rPr>
        <w:t xml:space="preserve">The Stratalink infrastructure serves ADGM across three distinct operating modes. These are the same system in different circumstances. Mode 1 is where the team spends the vast majority of its time.</w:t>
      </w:r>
    </w:p>
    <w:p>
      <w:pPr>
        <w:pStyle w:val="Heading2"/>
        <w:spacing w:after="160" w:before="280"/>
      </w:pPr>
      <w:r>
        <w:rPr>
          <w:rFonts w:ascii="Arial" w:cs="Arial" w:eastAsia="Arial" w:hAnsi="Arial"/>
          <w:b/>
          <w:bCs/>
          <w:sz w:val="28"/>
          <w:szCs w:val="28"/>
        </w:rPr>
        <w:t xml:space="preserve">3.1 Mode 1: Steady-State Supervisory Monitoring</w:t>
      </w:r>
    </w:p>
    <w:p>
      <w:pPr>
        <w:spacing w:after="160"/>
      </w:pPr>
      <w:r>
        <w:rPr>
          <w:rFonts w:ascii="Arial" w:cs="Arial" w:eastAsia="Arial" w:hAnsi="Arial"/>
          <w:sz w:val="22"/>
          <w:szCs w:val="22"/>
        </w:rPr>
        <w:t xml:space="preserve">For every token ADGM supervises, the RCL dashboard displays live PoLi liquidity scores across all venues where that token trades. STRATA AI flags anomalies in real time. EWDS indicators sit in a RAG status display. On a normal day, everything is green, and the value is that the team knows it is green because an independent system verified it, not because the venue told them so.</w:t>
      </w:r>
    </w:p>
    <w:p>
      <w:pPr>
        <w:spacing w:after="160"/>
      </w:pPr>
      <w:r>
        <w:rPr>
          <w:rFonts w:ascii="Arial" w:cs="Arial" w:eastAsia="Arial" w:hAnsi="Arial"/>
          <w:sz w:val="22"/>
          <w:szCs w:val="22"/>
        </w:rPr>
        <w:t xml:space="preserve">Daily outputs: morning dashboard review, venue compliance monitoring (compare venue-reported data against independent PoLi scores), token health assessment, and periodic supervisory reports using independently verified data.</w:t>
      </w:r>
    </w:p>
    <w:p>
      <w:pPr>
        <w:pStyle w:val="Heading2"/>
        <w:spacing w:after="160" w:before="280"/>
      </w:pPr>
      <w:r>
        <w:rPr>
          <w:rFonts w:ascii="Arial" w:cs="Arial" w:eastAsia="Arial" w:hAnsi="Arial"/>
          <w:b/>
          <w:bCs/>
          <w:sz w:val="28"/>
          <w:szCs w:val="28"/>
        </w:rPr>
        <w:t xml:space="preserve">3.2 Mode 2: Alert and Escalation</w:t>
      </w:r>
    </w:p>
    <w:p>
      <w:pPr>
        <w:spacing w:after="160"/>
      </w:pPr>
      <w:r>
        <w:rPr>
          <w:rFonts w:ascii="Arial" w:cs="Arial" w:eastAsia="Arial" w:hAnsi="Arial"/>
          <w:sz w:val="22"/>
          <w:szCs w:val="22"/>
        </w:rPr>
        <w:t xml:space="preserve">When STRATA AI detects manipulation patterns, EWDS indicators shift from green to amber or red, or PoLi scores drop below defined thresholds, the system generates alerts. The team has 6 to 8 hours of advance warning based on the detection window validated against the October 2025 event. Alerts are delivered to the RCL dashboard and via email, with each alert including the token, the anomaly, the severity, the venues involved, and a timestamped data trail.</w:t>
      </w:r>
    </w:p>
    <w:p>
      <w:pPr>
        <w:pStyle w:val="Heading2"/>
        <w:spacing w:after="160" w:before="280"/>
      </w:pPr>
      <w:r>
        <w:rPr>
          <w:rFonts w:ascii="Arial" w:cs="Arial" w:eastAsia="Arial" w:hAnsi="Arial"/>
          <w:b/>
          <w:bCs/>
          <w:sz w:val="28"/>
          <w:szCs w:val="28"/>
        </w:rPr>
        <w:t xml:space="preserve">3.3 Mode 3: Post-Event Investigation and Enforcement</w:t>
      </w:r>
    </w:p>
    <w:p>
      <w:pPr>
        <w:spacing w:after="160"/>
      </w:pPr>
      <w:r>
        <w:rPr>
          <w:rFonts w:ascii="Arial" w:cs="Arial" w:eastAsia="Arial" w:hAnsi="Arial"/>
          <w:sz w:val="22"/>
          <w:szCs w:val="22"/>
        </w:rPr>
        <w:t xml:space="preserve">Timestamped, cryptographically verified, cross-venue data showing exactly what liquidity conditions looked like at any point in time. Every data point traces back through the full stack. Venue attribution is available at the regulatory tier (Tier 3 access via RCL). All attestation data is published as cryptographically signed, immutable records on Canton MainNet via the Stratalink Oracle.</w:t>
      </w:r>
    </w:p>
    <w:p>
      <w:r>
        <w:br w:type="page"/>
      </w:r>
    </w:p>
    <w:p>
      <w:pPr>
        <w:pStyle w:val="Heading1"/>
        <w:spacing w:after="200" w:before="360"/>
      </w:pPr>
      <w:r>
        <w:rPr>
          <w:rFonts w:ascii="Arial" w:cs="Arial" w:eastAsia="Arial" w:hAnsi="Arial"/>
          <w:b/>
          <w:bCs/>
          <w:sz w:val="32"/>
          <w:szCs w:val="32"/>
        </w:rPr>
        <w:t xml:space="preserve">4. Demo Structure and Talk Track</w:t>
      </w:r>
    </w:p>
    <w:p>
      <w:pPr>
        <w:spacing w:after="160"/>
      </w:pPr>
      <w:r>
        <w:rPr>
          <w:rFonts w:ascii="Arial" w:cs="Arial" w:eastAsia="Arial" w:hAnsi="Arial"/>
          <w:sz w:val="22"/>
          <w:szCs w:val="22"/>
        </w:rPr>
        <w:t xml:space="preserve">The call on 2 July has approximately 60 minutes across four segments.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906"/>
      </w:tblGrid>
      <w:tr>
        <w:tc>
          <w:tcPr>
            <w:tcW w:type="dxa" w:w="1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2"/>
                <w:szCs w:val="22"/>
              </w:rPr>
              <w:t xml:space="preserve">Time</w:t>
            </w:r>
          </w:p>
        </w:tc>
        <w:tc>
          <w:tcPr>
            <w:tcW w:type="dxa" w:w="2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2"/>
                <w:szCs w:val="22"/>
              </w:rPr>
              <w:t xml:space="preserve">Segment</w:t>
            </w:r>
          </w:p>
        </w:tc>
        <w:tc>
          <w:tcPr>
            <w:tcW w:type="dxa" w:w="5906"/>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2"/>
                <w:szCs w:val="22"/>
              </w:rPr>
              <w:t xml:space="preserve">Purpose and Content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0-5 min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Opening</w:t>
            </w:r>
          </w:p>
        </w:tc>
        <w:tc>
          <w:tcPr>
            <w:tcW w:type="dxa" w:w="59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Thank Brian. Acknowledge the journey. Frame the call: demonstrate, then listen.</w:t>
            </w:r>
          </w:p>
        </w:tc>
      </w:tr>
      <w:tr>
        <w:tc>
          <w:tcPr>
            <w:tcW w:type="dxa" w:w="1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5-20 min</w:t>
            </w:r>
          </w:p>
        </w:tc>
        <w:tc>
          <w:tcPr>
            <w:tcW w:type="dxa" w:w="2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Storyboard</w:t>
            </w:r>
          </w:p>
        </w:tc>
        <w:tc>
          <w:tcPr>
            <w:tcW w:type="dxa" w:w="590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Walk through the 8-slide October crisis reconstruction. Verbal framing: "This is a modelled reconstruction showing what our infrastructure would have detected." Sells the problem and vision.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20-35 min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Live TILT + RCL</w:t>
            </w:r>
          </w:p>
        </w:tc>
        <w:tc>
          <w:tcPr>
            <w:tcW w:type="dxa" w:w="59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Transition to live system. Show TILT across BTC, ETH, SOL. Focus on Mode 1. Switch to RCL tab for the regulatory view. Ask about ADGM-supervised tokens.</w:t>
            </w:r>
          </w:p>
        </w:tc>
      </w:tr>
      <w:tr>
        <w:tc>
          <w:tcPr>
            <w:tcW w:type="dxa" w:w="1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35-45 min</w:t>
            </w:r>
          </w:p>
        </w:tc>
        <w:tc>
          <w:tcPr>
            <w:tcW w:type="dxa" w:w="2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Value Proposition</w:t>
            </w:r>
          </w:p>
        </w:tc>
        <w:tc>
          <w:tcPr>
            <w:tcW w:type="dxa" w:w="590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Three operating modes. RCL architecture. Tiered access. PoMI framing (patent filed, in development, design partner opportunity).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45-60 min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Scoping</w:t>
            </w:r>
          </w:p>
        </w:tc>
        <w:tc>
          <w:tcPr>
            <w:tcW w:type="dxa" w:w="59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Listening mode. Use checklist in Section 8. Gather inputs for formal pilot proposal.</w:t>
            </w:r>
          </w:p>
        </w:tc>
      </w:tr>
    </w:tbl>
    <w:p>
      <w:pPr>
        <w:spacing w:after="80"/>
      </w:pPr>
    </w:p>
    <w:p>
      <w:pPr>
        <w:spacing w:after="120" w:before="200"/>
      </w:pPr>
      <w:r>
        <w:rPr>
          <w:rFonts w:ascii="Arial" w:cs="Arial" w:eastAsia="Arial" w:hAnsi="Arial"/>
          <w:b/>
          <w:bCs/>
          <w:sz w:val="24"/>
          <w:szCs w:val="24"/>
        </w:rPr>
        <w:t xml:space="preserve">Key verbal framing</w:t>
      </w:r>
    </w:p>
    <w:p>
      <w:pPr>
        <w:spacing w:after="160"/>
      </w:pPr>
      <w:r>
        <w:rPr>
          <w:rFonts w:ascii="Arial" w:cs="Arial" w:eastAsia="Arial" w:hAnsi="Arial"/>
          <w:sz w:val="22"/>
          <w:szCs w:val="22"/>
        </w:rPr>
        <w:t xml:space="preserve">On the storyboard: always introduce as a modelled reconstruction. On PoMI: patent-protected, in active development, validated against October 2025 data, not live. On TILT vs RCL: TILT is the live product; RCL is the regulatory interface being built out for the pilot, pulling from the same data infrastructure.</w:t>
      </w:r>
    </w:p>
    <w:p>
      <w:r>
        <w:br w:type="page"/>
      </w:r>
    </w:p>
    <w:p>
      <w:pPr>
        <w:pStyle w:val="Heading1"/>
        <w:spacing w:after="200" w:before="360"/>
      </w:pPr>
      <w:r>
        <w:rPr>
          <w:rFonts w:ascii="Arial" w:cs="Arial" w:eastAsia="Arial" w:hAnsi="Arial"/>
          <w:b/>
          <w:bCs/>
          <w:sz w:val="32"/>
          <w:szCs w:val="32"/>
        </w:rPr>
        <w:t xml:space="preserve">5. Codebase Consolidation: Strip-List Reconciliation</w:t>
      </w:r>
    </w:p>
    <w:p>
      <w:pPr>
        <w:spacing w:after="160"/>
      </w:pPr>
      <w:r>
        <w:rPr>
          <w:rFonts w:ascii="Arial" w:cs="Arial" w:eastAsia="Arial" w:hAnsi="Arial"/>
          <w:sz w:val="22"/>
          <w:szCs w:val="22"/>
        </w:rPr>
        <w:t xml:space="preserve">The TILT Strip-List v1.0 (11 May 2026) planned an aggressive cleanup of the codebase for Canton MVP focus, including deletion of the RCL/ADGM dashboard. With ADGM now confirmed, those decisions are reconciled below. The objective remains one clean version of the institutional liquidity terminal, but the scope of what stays has expanded.</w:t>
      </w:r>
    </w:p>
    <w:p>
      <w:pPr>
        <w:pStyle w:val="Heading2"/>
        <w:spacing w:after="160" w:before="280"/>
      </w:pPr>
      <w:r>
        <w:rPr>
          <w:rFonts w:ascii="Arial" w:cs="Arial" w:eastAsia="Arial" w:hAnsi="Arial"/>
          <w:b/>
          <w:bCs/>
          <w:sz w:val="28"/>
          <w:szCs w:val="28"/>
        </w:rPr>
        <w:t xml:space="preserve">5.1 Still Delete (Genuinely Redundant)</w:t>
      </w:r>
    </w:p>
    <w:p>
      <w:pPr>
        <w:spacing w:after="160"/>
      </w:pPr>
      <w:r>
        <w:rPr>
          <w:rFonts w:ascii="Arial" w:cs="Arial" w:eastAsia="Arial" w:hAnsi="Arial"/>
          <w:sz w:val="22"/>
          <w:szCs w:val="22"/>
        </w:rPr>
        <w:t xml:space="preserve">These modules are not needed for either the ADGM pilot or the Canton integration. The strip-list deletion decisions stand.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706"/>
      </w:tblGrid>
      <w:tr>
        <w:tc>
          <w:tcPr>
            <w:tcW w:type="dxa" w:w="2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2"/>
                <w:szCs w:val="22"/>
              </w:rPr>
              <w:t xml:space="preserve">Module</w:t>
            </w:r>
          </w:p>
        </w:tc>
        <w:tc>
          <w:tcPr>
            <w:tcW w:type="dxa" w:w="1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2"/>
                <w:szCs w:val="22"/>
              </w:rPr>
              <w:t xml:space="preserve">Lines</w:t>
            </w:r>
          </w:p>
        </w:tc>
        <w:tc>
          <w:tcPr>
            <w:tcW w:type="dxa" w:w="5706"/>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2"/>
                <w:szCs w:val="22"/>
              </w:rPr>
              <w:t xml:space="preserve">Reason for Deletion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Identity Intelligence (Arkham, MM integrity, surveillance, alerts, PoLi+)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~1,500</w:t>
            </w:r>
          </w:p>
        </w:tc>
        <w:tc>
          <w:tcPr>
            <w:tcW w:type="dxa" w:w="5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External paid API dependency (Arkham). Not on critical path for ADGM or Canton. Reintroduce post-MVP if product direction warrants.</w:t>
            </w:r>
          </w:p>
        </w:tc>
      </w:tr>
      <w:tr>
        <w:tc>
          <w:tcPr>
            <w:tcW w:type="dxa" w:w="2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CCP Margin Console (member risk, manipulation detection, pre-trade verification)</w:t>
            </w:r>
          </w:p>
        </w:tc>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~4,100</w:t>
            </w:r>
          </w:p>
        </w:tc>
        <w:tc>
          <w:tcPr>
            <w:tcW w:type="dxa" w:w="570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Targets a different buyer (clearing houses). Outside both ADGM pilot scope and Canton MVP scope. Park for standalone product workstream.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Consumer marketing surfaces (landing, docs, download, scorecard, trends, portfolio, LIS debug)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~2,800</w:t>
            </w:r>
          </w:p>
        </w:tc>
        <w:tc>
          <w:tcPr>
            <w:tcW w:type="dxa" w:w="5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Prototype consumer UI. Not needed for operator console, regulatory dashboard, or Canton attestation.</w:t>
            </w:r>
          </w:p>
        </w:tc>
      </w:tr>
      <w:tr>
        <w:tc>
          <w:tcPr>
            <w:tcW w:type="dxa" w:w="2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Liquidity Tape consumer UI</w:t>
            </w:r>
          </w:p>
        </w:tc>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~1,250</w:t>
            </w:r>
          </w:p>
        </w:tc>
        <w:tc>
          <w:tcPr>
            <w:tcW w:type="dxa" w:w="570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DACT ingestion preserved at L1. Consumer UI surface not needed for either workstream.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canton-relay.ts (venue source)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~200</w:t>
            </w:r>
          </w:p>
        </w:tc>
        <w:tc>
          <w:tcPr>
            <w:tcW w:type="dxa" w:w="5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Canton is the destination, not a source venue. Reading attestations back as a fourteenth venue breaks PoLi-STD-1.1 Principle 3 (No Fallback Mixing).</w:t>
            </w:r>
          </w:p>
        </w:tc>
      </w:tr>
    </w:tbl>
    <w:p>
      <w:pPr>
        <w:spacing w:after="80"/>
      </w:pPr>
    </w:p>
    <w:p>
      <w:pPr>
        <w:spacing w:after="160"/>
      </w:pPr>
      <w:r>
        <w:rPr>
          <w:rFonts w:ascii="Arial" w:cs="Arial" w:eastAsia="Arial" w:hAnsi="Arial"/>
          <w:b/>
          <w:bCs/>
          <w:sz w:val="22"/>
          <w:szCs w:val="22"/>
        </w:rPr>
        <w:t xml:space="preserve">Total cleanup: approximately 10,000 lines removed.</w:t>
      </w:r>
      <w:r>
        <w:rPr>
          <w:rFonts w:ascii="Arial" w:cs="Arial" w:eastAsia="Arial" w:hAnsi="Arial"/>
          <w:sz w:val="22"/>
          <w:szCs w:val="22"/>
        </w:rPr>
        <w:t xml:space="preserve"> This cleans the codebase significantly while preserving everything the ADGM pilot needs.</w:t>
      </w:r>
    </w:p>
    <w:p>
      <w:pPr>
        <w:pStyle w:val="Heading2"/>
        <w:spacing w:after="160" w:before="280"/>
      </w:pPr>
      <w:r>
        <w:rPr>
          <w:rFonts w:ascii="Arial" w:cs="Arial" w:eastAsia="Arial" w:hAnsi="Arial"/>
          <w:b/>
          <w:bCs/>
          <w:sz w:val="28"/>
          <w:szCs w:val="28"/>
        </w:rPr>
        <w:t xml:space="preserve">5.2 Reverse Deletion (Needed for ADGM Pilot)</w:t>
      </w:r>
    </w:p>
    <w:p>
      <w:pPr>
        <w:spacing w:after="160"/>
      </w:pPr>
      <w:r>
        <w:rPr>
          <w:rFonts w:ascii="Arial" w:cs="Arial" w:eastAsia="Arial" w:hAnsi="Arial"/>
          <w:sz w:val="22"/>
          <w:szCs w:val="22"/>
        </w:rPr>
        <w:t xml:space="preserve">These modules were marked for deletion in the strip-list but are now on the critical path for the ADGM pilot.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706"/>
      </w:tblGrid>
      <w:tr>
        <w:tc>
          <w:tcPr>
            <w:tcW w:type="dxa" w:w="2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2"/>
                <w:szCs w:val="22"/>
              </w:rPr>
              <w:t xml:space="preserve">Module</w:t>
            </w:r>
          </w:p>
        </w:tc>
        <w:tc>
          <w:tcPr>
            <w:tcW w:type="dxa" w:w="1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2"/>
                <w:szCs w:val="22"/>
              </w:rPr>
              <w:t xml:space="preserve">Lines</w:t>
            </w:r>
          </w:p>
        </w:tc>
        <w:tc>
          <w:tcPr>
            <w:tcW w:type="dxa" w:w="5706"/>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2"/>
                <w:szCs w:val="22"/>
              </w:rPr>
              <w:t xml:space="preserve">Revised Decision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RCL/ADGM regulatory dashboard (RegulatoryAdgmView.tsx, rcl.ts, rclMock.ts)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~1,300</w:t>
            </w:r>
          </w:p>
        </w:tc>
        <w:tc>
          <w:tcPr>
            <w:tcW w:type="dxa" w:w="5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KEEP and UPGRADE. The RCL scaffold stays. The mock service gets replaced with a live data service wired to the TSLE buffer and PoLi scoring. This is the centrepiece of the ADGM pilot.</w:t>
            </w:r>
          </w:p>
        </w:tc>
      </w:tr>
      <w:tr>
        <w:tc>
          <w:tcPr>
            <w:tcW w:type="dxa" w:w="2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Alert system (alert-service.ts, alerts.ts, divergence-detector.ts)</w:t>
            </w:r>
          </w:p>
        </w:tc>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~900</w:t>
            </w:r>
          </w:p>
        </w:tc>
        <w:tc>
          <w:tcPr>
            <w:tcW w:type="dxa" w:w="5706"/>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KEEP and ENHANCE. The alert infrastructure stays and gets extended with configurable thresholds per supervised token and email delivery for regulatory use.</w:t>
            </w:r>
          </w:p>
        </w:tc>
      </w:tr>
    </w:tbl>
    <w:p>
      <w:pPr>
        <w:pStyle w:val="Heading2"/>
        <w:spacing w:after="160" w:before="280"/>
      </w:pPr>
      <w:r>
        <w:rPr>
          <w:rFonts w:ascii="Arial" w:cs="Arial" w:eastAsia="Arial" w:hAnsi="Arial"/>
          <w:b/>
          <w:bCs/>
          <w:sz w:val="28"/>
          <w:szCs w:val="28"/>
        </w:rPr>
        <w:t xml:space="preserve">5.3 Reconcile (Needed for Both Workstreams)</w:t>
      </w:r>
    </w:p>
    <w:p>
      <w:pPr>
        <w:spacing w:after="160"/>
      </w:pPr>
      <w:r>
        <w:rPr>
          <w:rFonts w:ascii="Arial" w:cs="Arial" w:eastAsia="Arial" w:hAnsi="Arial"/>
          <w:sz w:val="22"/>
          <w:szCs w:val="22"/>
        </w:rPr>
        <w:t xml:space="preserve">The PoLi scoring engine presents the hardest sequencing decision. The strip-list replaces the L5F 5-factor model with a PoLi-STD-1.1 Depth/Spread/Balance triplet for Canton attestation. The ADGM pilot needs working PoLi scores on the RCL dashboard.</w:t>
      </w:r>
    </w:p>
    <w:p>
      <w:pPr>
        <w:spacing w:after="160"/>
      </w:pPr>
      <w:r>
        <w:rPr>
          <w:rFonts w:ascii="Arial" w:cs="Arial" w:eastAsia="Arial" w:hAnsi="Arial"/>
          <w:sz w:val="22"/>
          <w:szCs w:val="22"/>
        </w:rPr>
        <w:t xml:space="preserve">The approach is to build the PoLi-STD-1.1 scoring engine (poli-scoring.ts) as planned in the strip-list, then wire the RCL dashboard to consume scores from the new engine rather than the old one. This means the ADGM pilot and the Canton attestation pipeline both use the same scoring engine from day one. The old PoLi engine (poliEngine.ts, poliVenueEvidence.ts, and the other seven files in the strip-list DELETE list) gets removed as planned, because the new engine replaces it for both purposes.</w:t>
      </w:r>
    </w:p>
    <w:p>
      <w:pPr>
        <w:spacing w:after="160"/>
      </w:pPr>
      <w:r>
        <w:rPr>
          <w:rFonts w:ascii="Arial" w:cs="Arial" w:eastAsia="Arial" w:hAnsi="Arial"/>
          <w:sz w:val="22"/>
          <w:szCs w:val="22"/>
        </w:rPr>
        <w:t xml:space="preserve">The L5F operator metrics (Resilience, Regime Stability, Execution Integrity dispersion) are kept as internal operator-console metrics per the strip-list guidance. They have value for early warning and alerting but do not feed into signed attestations.</w:t>
      </w:r>
    </w:p>
    <w:p>
      <w:pPr>
        <w:pStyle w:val="Heading2"/>
        <w:spacing w:after="160" w:before="280"/>
      </w:pPr>
      <w:r>
        <w:rPr>
          <w:rFonts w:ascii="Arial" w:cs="Arial" w:eastAsia="Arial" w:hAnsi="Arial"/>
          <w:b/>
          <w:bCs/>
          <w:sz w:val="28"/>
          <w:szCs w:val="28"/>
        </w:rPr>
        <w:t xml:space="preserve">5.4 Navigation Cleanup</w:t>
      </w:r>
    </w:p>
    <w:p>
      <w:pPr>
        <w:spacing w:after="160"/>
      </w:pPr>
      <w:r>
        <w:rPr>
          <w:rFonts w:ascii="Arial" w:cs="Arial" w:eastAsia="Arial" w:hAnsi="Arial"/>
          <w:sz w:val="22"/>
          <w:szCs w:val="22"/>
        </w:rPr>
        <w:t xml:space="preserve">The platform-tabs strip and dashboard-header are consolidated to reflect what actually exists after cleanup. The surviving navigation tabs for the ADGM pilot are: TILT (the main operator/institutional view), RCL (the regulatory view), and ALERTS (the alert configuration and history). All other tabs (CCP MARGIN, TRENDS, PORTFOLIO, SCORECARD, ANALYTICS, TAPE, OVERVIEW) are removed. The top navigation bar loses the IDENTITY and consumer-platform links.</w:t>
      </w:r>
    </w:p>
    <w:p>
      <w:r>
        <w:br w:type="page"/>
      </w:r>
    </w:p>
    <w:p>
      <w:pPr>
        <w:pStyle w:val="Heading1"/>
        <w:spacing w:after="200" w:before="360"/>
      </w:pPr>
      <w:r>
        <w:rPr>
          <w:rFonts w:ascii="Arial" w:cs="Arial" w:eastAsia="Arial" w:hAnsi="Arial"/>
          <w:b/>
          <w:bCs/>
          <w:sz w:val="32"/>
          <w:szCs w:val="32"/>
        </w:rPr>
        <w:t xml:space="preserve">6. Development Phasing</w:t>
      </w:r>
    </w:p>
    <w:p>
      <w:pPr>
        <w:spacing w:after="160"/>
      </w:pPr>
      <w:r>
        <w:rPr>
          <w:rFonts w:ascii="Arial" w:cs="Arial" w:eastAsia="Arial" w:hAnsi="Arial"/>
          <w:sz w:val="22"/>
          <w:szCs w:val="22"/>
        </w:rPr>
        <w:t xml:space="preserve">Work is sequenced across three phases aligned to the two hard deadlines.</w:t>
      </w:r>
    </w:p>
    <w:p>
      <w:pPr>
        <w:pStyle w:val="Heading2"/>
        <w:spacing w:after="160" w:before="280"/>
      </w:pPr>
      <w:r>
        <w:rPr>
          <w:rFonts w:ascii="Arial" w:cs="Arial" w:eastAsia="Arial" w:hAnsi="Arial"/>
          <w:b/>
          <w:bCs/>
          <w:sz w:val="28"/>
          <w:szCs w:val="28"/>
        </w:rPr>
        <w:t xml:space="preserve">6.1 Phase 1: Pre-Demo (Now to 2 July)</w:t>
      </w:r>
    </w:p>
    <w:p>
      <w:pPr>
        <w:spacing w:after="160"/>
      </w:pPr>
      <w:r>
        <w:rPr>
          <w:rFonts w:ascii="Arial" w:cs="Arial" w:eastAsia="Arial" w:hAnsi="Arial"/>
          <w:b/>
          <w:bCs/>
          <w:sz w:val="22"/>
          <w:szCs w:val="22"/>
        </w:rPr>
        <w:t xml:space="preserve">Objective: </w:t>
      </w:r>
      <w:r>
        <w:rPr>
          <w:rFonts w:ascii="Arial" w:cs="Arial" w:eastAsia="Arial" w:hAnsi="Arial"/>
          <w:sz w:val="22"/>
          <w:szCs w:val="22"/>
        </w:rPr>
        <w:t xml:space="preserve">TILT is clean, stable, and demonstrable for the ADGM call. RCL view is presentable.</w:t>
      </w:r>
    </w:p>
    <w:p>
      <w:pPr>
        <w:spacing w:after="120" w:before="200"/>
      </w:pPr>
      <w:r>
        <w:rPr>
          <w:rFonts w:ascii="Arial" w:cs="Arial" w:eastAsia="Arial" w:hAnsi="Arial"/>
          <w:b/>
          <w:bCs/>
          <w:sz w:val="24"/>
          <w:szCs w:val="24"/>
        </w:rPr>
        <w:t xml:space="preserve">Codebase cleanup (Strip-List Sprint 1 deletions)</w:t>
      </w:r>
    </w:p>
    <w:p>
      <w:pPr>
        <w:spacing w:after="160"/>
      </w:pPr>
      <w:r>
        <w:rPr>
          <w:rFonts w:ascii="Arial" w:cs="Arial" w:eastAsia="Arial" w:hAnsi="Arial"/>
          <w:sz w:val="22"/>
          <w:szCs w:val="22"/>
        </w:rPr>
        <w:t xml:space="preserve">Execute the deletions listed in Section 5.1. Remove Identity Intelligence, CCP Margin, consumer marketing surfaces, Liquidity Tape consumer UI, and canton-relay.ts as a venue source. Collapse platform-tabs.tsx to TILT, RCL, and ALERTS. Clean dashboard-header.tsx. Remove all orphaned imports and routes. This is mechanical work that reduces the codebase by approximately 10,000 lines and produces a clean, focused build.</w:t>
      </w:r>
    </w:p>
    <w:p>
      <w:pPr>
        <w:spacing w:after="120" w:before="200"/>
      </w:pPr>
      <w:r>
        <w:rPr>
          <w:rFonts w:ascii="Arial" w:cs="Arial" w:eastAsia="Arial" w:hAnsi="Arial"/>
          <w:b/>
          <w:bCs/>
          <w:sz w:val="24"/>
          <w:szCs w:val="24"/>
        </w:rPr>
        <w:t xml:space="preserve">TILT terminal stability</w:t>
      </w:r>
    </w:p>
    <w:p>
      <w:pPr>
        <w:spacing w:after="160"/>
      </w:pPr>
      <w:r>
        <w:rPr>
          <w:rFonts w:ascii="Arial" w:cs="Arial" w:eastAsia="Arial" w:hAnsi="Arial"/>
          <w:sz w:val="22"/>
          <w:szCs w:val="22"/>
        </w:rPr>
        <w:t xml:space="preserve">Verify that the TILT terminal is displaying clean, real-time data for BTC, ETH, and SOL. Run stability checks 24 to 48 hours before the call. Confirm screen sharing renders cleanly.</w:t>
      </w:r>
    </w:p>
    <w:p>
      <w:pPr>
        <w:spacing w:after="120" w:before="200"/>
      </w:pPr>
      <w:r>
        <w:rPr>
          <w:rFonts w:ascii="Arial" w:cs="Arial" w:eastAsia="Arial" w:hAnsi="Arial"/>
          <w:b/>
          <w:bCs/>
          <w:sz w:val="24"/>
          <w:szCs w:val="24"/>
        </w:rPr>
        <w:t xml:space="preserve">RCL preparation</w:t>
      </w:r>
    </w:p>
    <w:p>
      <w:pPr>
        <w:spacing w:after="160"/>
      </w:pPr>
      <w:r>
        <w:rPr>
          <w:rFonts w:ascii="Arial" w:cs="Arial" w:eastAsia="Arial" w:hAnsi="Arial"/>
          <w:sz w:val="22"/>
          <w:szCs w:val="22"/>
        </w:rPr>
        <w:t xml:space="preserve">The RCL view currently runs on mock data. For the 2 July demo, mock data is acceptable provided it is verbally framed as "the regulatory interface we are building out for the pilot." No code changes are required to the RCL view for the demo itself. The focus is on cleaning up the surrounding navigation so the RCL tab sits in a clean, professional context rather than surrounded by placeholder tabs.</w:t>
      </w:r>
    </w:p>
    <w:p>
      <w:pPr>
        <w:spacing w:after="120" w:before="200"/>
      </w:pPr>
      <w:r>
        <w:rPr>
          <w:rFonts w:ascii="Arial" w:cs="Arial" w:eastAsia="Arial" w:hAnsi="Arial"/>
          <w:b/>
          <w:bCs/>
          <w:sz w:val="24"/>
          <w:szCs w:val="24"/>
        </w:rPr>
        <w:t xml:space="preserve">Research ADGM-supervised tokens</w:t>
      </w:r>
    </w:p>
    <w:p>
      <w:pPr>
        <w:spacing w:after="160"/>
      </w:pPr>
      <w:r>
        <w:rPr>
          <w:rFonts w:ascii="Arial" w:cs="Arial" w:eastAsia="Arial" w:hAnsi="Arial"/>
          <w:sz w:val="22"/>
          <w:szCs w:val="22"/>
        </w:rPr>
        <w:t xml:space="preserve">Identify which tokens and venues are currently supervised or relevant to ADGM's digital asset framework. This directly informs the scoping conversation on 2 July.</w:t>
      </w:r>
    </w:p>
    <w:p>
      <w:pPr>
        <w:spacing w:after="80"/>
      </w:pPr>
    </w:p>
    <w:p>
      <w:pPr>
        <w:pStyle w:val="Heading2"/>
        <w:spacing w:after="160" w:before="280"/>
      </w:pPr>
      <w:r>
        <w:rPr>
          <w:rFonts w:ascii="Arial" w:cs="Arial" w:eastAsia="Arial" w:hAnsi="Arial"/>
          <w:b/>
          <w:bCs/>
          <w:sz w:val="28"/>
          <w:szCs w:val="28"/>
        </w:rPr>
        <w:t xml:space="preserve">6.2 Phase 2: Canton Acceptance (2 July to ~8 July)</w:t>
      </w:r>
    </w:p>
    <w:p>
      <w:pPr>
        <w:spacing w:after="160"/>
      </w:pPr>
      <w:r>
        <w:rPr>
          <w:rFonts w:ascii="Arial" w:cs="Arial" w:eastAsia="Arial" w:hAnsi="Arial"/>
          <w:b/>
          <w:bCs/>
          <w:sz w:val="22"/>
          <w:szCs w:val="22"/>
        </w:rPr>
        <w:t xml:space="preserve">Objective: </w:t>
      </w:r>
      <w:r>
        <w:rPr>
          <w:rFonts w:ascii="Arial" w:cs="Arial" w:eastAsia="Arial" w:hAnsi="Arial"/>
          <w:sz w:val="22"/>
          <w:szCs w:val="22"/>
        </w:rPr>
        <w:t xml:space="preserve">Accept the IntellectEU Canton code deliverable within the 15-business-day window per SOW Amendment A4.</w:t>
      </w:r>
    </w:p>
    <w:p>
      <w:pPr>
        <w:spacing w:after="160"/>
      </w:pPr>
      <w:r>
        <w:rPr>
          <w:rFonts w:ascii="Arial" w:cs="Arial" w:eastAsia="Arial" w:hAnsi="Arial"/>
          <w:sz w:val="22"/>
          <w:szCs w:val="22"/>
        </w:rPr>
        <w:t xml:space="preserve">This phase runs in parallel with the immediate post-demo follow-up from the ADGM call. The focus is on the Canton attestation pipeline: PoLi-STD-1.1 scoring engine (poli-scoring.ts), Oracle Adapter (canonicaliser, signer, Canton client), and the five-point acceptance criteria testing against DevNet. The strip-list Sprints 2 through 4 deliverables apply here.</w:t>
      </w:r>
    </w:p>
    <w:p>
      <w:pPr>
        <w:spacing w:after="160"/>
      </w:pPr>
      <w:r>
        <w:rPr>
          <w:rFonts w:ascii="Arial" w:cs="Arial" w:eastAsia="Arial" w:hAnsi="Arial"/>
          <w:sz w:val="22"/>
          <w:szCs w:val="22"/>
        </w:rPr>
        <w:t xml:space="preserve">The PoLi-STD-1.1 scoring engine built in this phase becomes the engine that the RCL dashboard will consume in Phase 3. This is the convergence point: one scoring engine serving both the Canton attestation pipeline and the ADGM regulatory dashboard.</w:t>
      </w:r>
    </w:p>
    <w:p>
      <w:pPr>
        <w:spacing w:after="80"/>
      </w:pPr>
    </w:p>
    <w:p>
      <w:pPr>
        <w:pStyle w:val="Heading2"/>
        <w:spacing w:after="160" w:before="280"/>
      </w:pPr>
      <w:r>
        <w:rPr>
          <w:rFonts w:ascii="Arial" w:cs="Arial" w:eastAsia="Arial" w:hAnsi="Arial"/>
          <w:b/>
          <w:bCs/>
          <w:sz w:val="28"/>
          <w:szCs w:val="28"/>
        </w:rPr>
        <w:t xml:space="preserve">6.3 Phase 3: Pilot Build-Out (Post-Acceptance, July Onwards)</w:t>
      </w:r>
    </w:p>
    <w:p>
      <w:pPr>
        <w:spacing w:after="160"/>
      </w:pPr>
      <w:r>
        <w:rPr>
          <w:rFonts w:ascii="Arial" w:cs="Arial" w:eastAsia="Arial" w:hAnsi="Arial"/>
          <w:b/>
          <w:bCs/>
          <w:sz w:val="22"/>
          <w:szCs w:val="22"/>
        </w:rPr>
        <w:t xml:space="preserve">Objective: </w:t>
      </w:r>
      <w:r>
        <w:rPr>
          <w:rFonts w:ascii="Arial" w:cs="Arial" w:eastAsia="Arial" w:hAnsi="Arial"/>
          <w:sz w:val="22"/>
          <w:szCs w:val="22"/>
        </w:rPr>
        <w:t xml:space="preserve">Wire the RCL dashboard to live data, build automated reporting, and deliver the ADGM pilot.</w:t>
      </w:r>
    </w:p>
    <w:p>
      <w:pPr>
        <w:spacing w:after="160"/>
      </w:pPr>
      <w:r>
        <w:rPr>
          <w:rFonts w:ascii="Arial" w:cs="Arial" w:eastAsia="Arial" w:hAnsi="Arial"/>
          <w:sz w:val="22"/>
          <w:szCs w:val="22"/>
        </w:rPr>
        <w:t xml:space="preserve">With the codebase cleaned up (Phase 1) and the Canton scoring engine in place (Phase 2), Phase 3 connects everything for the pilot.</w:t>
      </w:r>
    </w:p>
    <w:p>
      <w:pPr>
        <w:spacing w:after="120" w:before="200"/>
      </w:pPr>
      <w:r>
        <w:rPr>
          <w:rFonts w:ascii="Arial" w:cs="Arial" w:eastAsia="Arial" w:hAnsi="Arial"/>
          <w:b/>
          <w:bCs/>
          <w:sz w:val="24"/>
          <w:szCs w:val="24"/>
        </w:rPr>
        <w:t xml:space="preserve">Task 1: Wire RCL to live data</w:t>
      </w:r>
    </w:p>
    <w:p>
      <w:pPr>
        <w:spacing w:after="160"/>
      </w:pPr>
      <w:r>
        <w:rPr>
          <w:rFonts w:ascii="Arial" w:cs="Arial" w:eastAsia="Arial" w:hAnsi="Arial"/>
          <w:sz w:val="22"/>
          <w:szCs w:val="22"/>
        </w:rPr>
        <w:t xml:space="preserve">Replace rclMock.ts with a service that pulls real data from the PoLi-STD-1.1 scoring engine and the TSLE/DACT buffer. The Coverage panel reflects actual venue connectivity. The Truth panel pulls real PoLi scores. The Provenance panel reflects actual venue ingestion timestamps and reference chains.</w:t>
      </w:r>
    </w:p>
    <w:p>
      <w:pPr>
        <w:spacing w:after="100"/>
      </w:pPr>
      <w:r>
        <w:rPr>
          <w:rFonts w:ascii="Courier New" w:cs="Courier New" w:eastAsia="Courier New" w:hAnsi="Courier New"/>
          <w:color w:val="555555"/>
          <w:sz w:val="18"/>
          <w:szCs w:val="18"/>
        </w:rPr>
        <w:t xml:space="preserve">Files: server/services/rclMock.ts (replace), server/routes/rcl.ts (update), new poli-scoring.ts (consume)</w:t>
      </w:r>
    </w:p>
    <w:p>
      <w:pPr>
        <w:spacing w:after="120" w:before="200"/>
      </w:pPr>
      <w:r>
        <w:rPr>
          <w:rFonts w:ascii="Arial" w:cs="Arial" w:eastAsia="Arial" w:hAnsi="Arial"/>
          <w:b/>
          <w:bCs/>
          <w:sz w:val="24"/>
          <w:szCs w:val="24"/>
        </w:rPr>
        <w:t xml:space="preserve">Task 2: Add supervised token portfolio</w:t>
      </w:r>
    </w:p>
    <w:p>
      <w:pPr>
        <w:spacing w:after="160"/>
      </w:pPr>
      <w:r>
        <w:rPr>
          <w:rFonts w:ascii="Arial" w:cs="Arial" w:eastAsia="Arial" w:hAnsi="Arial"/>
          <w:sz w:val="22"/>
          <w:szCs w:val="22"/>
        </w:rPr>
        <w:t xml:space="preserve">Introduce a supervised instrument set for ADGM. The RCL dashboard defaults to showing only tokens ADGM has designated. Requires a new data structure and configuration interface. Scope confirmed by the answers from the 2 July scoping conversation.</w:t>
      </w:r>
    </w:p>
    <w:p>
      <w:pPr>
        <w:spacing w:after="100"/>
      </w:pPr>
      <w:r>
        <w:rPr>
          <w:rFonts w:ascii="Courier New" w:cs="Courier New" w:eastAsia="Courier New" w:hAnsi="Courier New"/>
          <w:color w:val="555555"/>
          <w:sz w:val="18"/>
          <w:szCs w:val="18"/>
        </w:rPr>
        <w:t xml:space="preserve">Files: client/src/pages/regulatory/RegulatoryAdgmView.tsx (update), shared/schema.ts (extend), server/routes/rcl.ts (add endpoints)</w:t>
      </w:r>
    </w:p>
    <w:p>
      <w:pPr>
        <w:spacing w:after="120" w:before="200"/>
      </w:pPr>
      <w:r>
        <w:rPr>
          <w:rFonts w:ascii="Arial" w:cs="Arial" w:eastAsia="Arial" w:hAnsi="Arial"/>
          <w:b/>
          <w:bCs/>
          <w:sz w:val="24"/>
          <w:szCs w:val="24"/>
        </w:rPr>
        <w:t xml:space="preserve">Task 3: Tier 3 venue attribution</w:t>
      </w:r>
    </w:p>
    <w:p>
      <w:pPr>
        <w:spacing w:after="160"/>
      </w:pPr>
      <w:r>
        <w:rPr>
          <w:rFonts w:ascii="Arial" w:cs="Arial" w:eastAsia="Arial" w:hAnsi="Arial"/>
          <w:sz w:val="22"/>
          <w:szCs w:val="22"/>
        </w:rPr>
        <w:t xml:space="preserve">The RCL Provenance panel shows full venue-attributed liquidity data for the regulatory tier. Per-venue PoLi scores and depth data are surfaced rather than aggregates only. Institutional views continue to show anonymised data.</w:t>
      </w:r>
    </w:p>
    <w:p>
      <w:pPr>
        <w:spacing w:after="100"/>
      </w:pPr>
      <w:r>
        <w:rPr>
          <w:rFonts w:ascii="Courier New" w:cs="Courier New" w:eastAsia="Courier New" w:hAnsi="Courier New"/>
          <w:color w:val="555555"/>
          <w:sz w:val="18"/>
          <w:szCs w:val="18"/>
        </w:rPr>
        <w:t xml:space="preserve">Files: RegulatoryAdgmView.tsx (add venue breakdown), shared/roles.ts (add regulator role), server/auth.ts (update)</w:t>
      </w:r>
    </w:p>
    <w:p>
      <w:pPr>
        <w:spacing w:after="120" w:before="200"/>
      </w:pPr>
      <w:r>
        <w:rPr>
          <w:rFonts w:ascii="Arial" w:cs="Arial" w:eastAsia="Arial" w:hAnsi="Arial"/>
          <w:b/>
          <w:bCs/>
          <w:sz w:val="24"/>
          <w:szCs w:val="24"/>
        </w:rPr>
        <w:t xml:space="preserve">Task 4: Enhanced alerts for regulatory use</w:t>
      </w:r>
    </w:p>
    <w:p>
      <w:pPr>
        <w:spacing w:after="160"/>
      </w:pPr>
      <w:r>
        <w:rPr>
          <w:rFonts w:ascii="Arial" w:cs="Arial" w:eastAsia="Arial" w:hAnsi="Arial"/>
          <w:sz w:val="22"/>
          <w:szCs w:val="22"/>
        </w:rPr>
        <w:t xml:space="preserve">Add configurable thresholds per supervised token, email delivery using the existing Resend integration, and a regulator-specific alert profile. The alert system was preserved in Phase 1 specifically for this purpose.</w:t>
      </w:r>
    </w:p>
    <w:p>
      <w:pPr>
        <w:spacing w:after="100"/>
      </w:pPr>
      <w:r>
        <w:rPr>
          <w:rFonts w:ascii="Courier New" w:cs="Courier New" w:eastAsia="Courier New" w:hAnsi="Courier New"/>
          <w:color w:val="555555"/>
          <w:sz w:val="18"/>
          <w:szCs w:val="18"/>
        </w:rPr>
        <w:t xml:space="preserve">Files: server/services/alert-service.ts (update), server/routes/alerts.ts (update), shared/schema.ts (extend)</w:t>
      </w:r>
    </w:p>
    <w:p>
      <w:pPr>
        <w:spacing w:after="120" w:before="200"/>
      </w:pPr>
      <w:r>
        <w:rPr>
          <w:rFonts w:ascii="Arial" w:cs="Arial" w:eastAsia="Arial" w:hAnsi="Arial"/>
          <w:b/>
          <w:bCs/>
          <w:sz w:val="24"/>
          <w:szCs w:val="24"/>
        </w:rPr>
        <w:t xml:space="preserve">Task 5: Automated reporting</w:t>
      </w:r>
    </w:p>
    <w:p>
      <w:pPr>
        <w:spacing w:after="160"/>
      </w:pPr>
      <w:r>
        <w:rPr>
          <w:rFonts w:ascii="Arial" w:cs="Arial" w:eastAsia="Arial" w:hAnsi="Arial"/>
          <w:sz w:val="22"/>
          <w:szCs w:val="22"/>
        </w:rPr>
        <w:t xml:space="preserve">Scheduled report generation using node-cron. Daily token liquidity summary, weekly market integrity digest, monthly supervisory overview. Delivered via Resend email. Format and frequency confirmed with ADGM during scoping.</w:t>
      </w:r>
    </w:p>
    <w:p>
      <w:pPr>
        <w:spacing w:after="100"/>
      </w:pPr>
      <w:r>
        <w:rPr>
          <w:rFonts w:ascii="Courier New" w:cs="Courier New" w:eastAsia="Courier New" w:hAnsi="Courier New"/>
          <w:color w:val="555555"/>
          <w:sz w:val="18"/>
          <w:szCs w:val="18"/>
        </w:rPr>
        <w:t xml:space="preserve">Files: new server/services/rclReporting.ts, server/routes/rcl.ts (add endpoints)</w:t>
      </w:r>
    </w:p>
    <w:p>
      <w:pPr>
        <w:spacing w:after="120" w:before="200"/>
      </w:pPr>
      <w:r>
        <w:rPr>
          <w:rFonts w:ascii="Arial" w:cs="Arial" w:eastAsia="Arial" w:hAnsi="Arial"/>
          <w:b/>
          <w:bCs/>
          <w:sz w:val="24"/>
          <w:szCs w:val="24"/>
        </w:rPr>
        <w:t xml:space="preserve">Task 6: Historical query</w:t>
      </w:r>
    </w:p>
    <w:p>
      <w:pPr>
        <w:spacing w:after="160"/>
      </w:pPr>
      <w:r>
        <w:rPr>
          <w:rFonts w:ascii="Arial" w:cs="Arial" w:eastAsia="Arial" w:hAnsi="Arial"/>
          <w:sz w:val="22"/>
          <w:szCs w:val="22"/>
        </w:rPr>
        <w:t xml:space="preserve">Persist TSLE snapshots and PoLi scores to PostgreSQL at regular intervals. Add a historical query API for the RCL view to retrieve data for any point during the pilot period. Supports Mode 3 (post-event investigation).</w:t>
      </w:r>
    </w:p>
    <w:p>
      <w:pPr>
        <w:spacing w:after="100"/>
      </w:pPr>
      <w:r>
        <w:rPr>
          <w:rFonts w:ascii="Courier New" w:cs="Courier New" w:eastAsia="Courier New" w:hAnsi="Courier New"/>
          <w:color w:val="555555"/>
          <w:sz w:val="18"/>
          <w:szCs w:val="18"/>
        </w:rPr>
        <w:t xml:space="preserve">Files: server/services/tsle-buffer.ts (add persistence), server/db.ts (extend), new server/routes/rclHistory.ts</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856404" w:sz="1"/>
              <w:left w:val="single" w:color="856404" w:sz="6"/>
              <w:bottom w:val="single" w:color="856404" w:sz="1"/>
              <w:right w:val="single" w:color="856404" w:sz="1"/>
            </w:tcBorders>
            <w:shd w:fill="FFF3CD" w:val="clear"/>
            <w:tcMar>
              <w:top w:type="dxa" w:w="120"/>
              <w:left w:type="dxa" w:w="200"/>
              <w:bottom w:type="dxa" w:w="120"/>
              <w:right w:type="dxa" w:w="200"/>
            </w:tcMar>
          </w:tcPr>
          <w:p>
            <w:r>
              <w:rPr>
                <w:rFonts w:ascii="Arial" w:cs="Arial" w:eastAsia="Arial" w:hAnsi="Arial"/>
                <w:i/>
                <w:iCs/>
                <w:sz w:val="22"/>
                <w:szCs w:val="22"/>
              </w:rPr>
              <w:t xml:space="preserve">Tasks 1 through 3 are the minimum viable set for pilot launch. Tasks 4 through 6 are delivered iteratively during the pilot based on ADGM feedback. The Canton attestation layer (on-chain publication via the Stratalink Oracle) can be demonstrated to ADGM during the pilot as it comes online, adding the cryptographic verification dimension to the story.</w:t>
            </w:r>
          </w:p>
        </w:tc>
      </w:tr>
    </w:tbl>
    <w:p>
      <w:r>
        <w:br w:type="page"/>
      </w:r>
    </w:p>
    <w:p>
      <w:pPr>
        <w:pStyle w:val="Heading1"/>
        <w:spacing w:after="200" w:before="360"/>
      </w:pPr>
      <w:r>
        <w:rPr>
          <w:rFonts w:ascii="Arial" w:cs="Arial" w:eastAsia="Arial" w:hAnsi="Arial"/>
          <w:b/>
          <w:bCs/>
          <w:sz w:val="32"/>
          <w:szCs w:val="32"/>
        </w:rPr>
        <w:t xml:space="preserve">7. RCL Current State and Target State</w:t>
      </w:r>
    </w:p>
    <w:p>
      <w:pPr>
        <w:spacing w:after="160"/>
      </w:pPr>
      <w:r>
        <w:rPr>
          <w:rFonts w:ascii="Arial" w:cs="Arial" w:eastAsia="Arial" w:hAnsi="Arial"/>
          <w:sz w:val="22"/>
          <w:szCs w:val="22"/>
        </w:rPr>
        <w:t xml:space="preserve">The RCL view exists at /regulatory/adgm with a three-panel layout (Coverage, Truth, Provenance), evidence levels L1 through L5, RAG indicators, and JSON/PDF export. The backend is a mock service generating synthetic data. The target is to connect this interface to live data from the PoLi-STD-1.1 scoring engine and the TSLE/DACT buffer. Section 6.3 details the specific tasks.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3953"/>
        <w:gridCol w:w="3953"/>
      </w:tblGrid>
      <w:tr>
        <w:tc>
          <w:tcPr>
            <w:tcW w:type="dxa" w:w="1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2"/>
                <w:szCs w:val="22"/>
              </w:rPr>
              <w:t xml:space="preserve">Panel</w:t>
            </w:r>
          </w:p>
        </w:tc>
        <w:tc>
          <w:tcPr>
            <w:tcW w:type="dxa" w:w="3953"/>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2"/>
                <w:szCs w:val="22"/>
              </w:rPr>
              <w:t xml:space="preserve">Current (Mock)</w:t>
            </w:r>
          </w:p>
        </w:tc>
        <w:tc>
          <w:tcPr>
            <w:tcW w:type="dxa" w:w="3953"/>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2"/>
                <w:szCs w:val="22"/>
              </w:rPr>
              <w:t xml:space="preserve">Pilot Target (Live)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Coverage</w:t>
            </w:r>
          </w:p>
        </w:tc>
        <w:tc>
          <w:tcPr>
            <w:tcW w:type="dxa" w:w="39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BTC-USD, 3 venues, synthetic values.</w:t>
            </w:r>
          </w:p>
        </w:tc>
        <w:tc>
          <w:tcPr>
            <w:tcW w:type="dxa" w:w="39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Live venue count from TSLE buffer. Actual coverage across 14+ venues. Supervised token portfolio selector.</w:t>
            </w:r>
          </w:p>
        </w:tc>
      </w:tr>
      <w:tr>
        <w:tc>
          <w:tcPr>
            <w:tcW w:type="dxa" w:w="1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Truth</w:t>
            </w:r>
          </w:p>
        </w:tc>
        <w:tc>
          <w:tcPr>
            <w:tcW w:type="dxa" w:w="3953"/>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Hardcoded VERIFIED, L3. Synthetic integrity metrics.</w:t>
            </w:r>
          </w:p>
        </w:tc>
        <w:tc>
          <w:tcPr>
            <w:tcW w:type="dxa" w:w="3953"/>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Live PoLi-STD-1.1 scores. Real data gap counts, measured latency, actual normalisation status.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Provenance</w:t>
            </w:r>
          </w:p>
        </w:tc>
        <w:tc>
          <w:tcPr>
            <w:tcW w:type="dxa" w:w="39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Three venues, synthetic LIS references.</w:t>
            </w:r>
          </w:p>
        </w:tc>
        <w:tc>
          <w:tcPr>
            <w:tcW w:type="dxa" w:w="39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Actual venue connection status, real ingestion timestamps, genuine reference chains.</w:t>
            </w:r>
          </w:p>
        </w:tc>
      </w:tr>
      <w:tr>
        <w:tc>
          <w:tcPr>
            <w:tcW w:type="dxa" w:w="1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Export</w:t>
            </w:r>
          </w:p>
        </w:tc>
        <w:tc>
          <w:tcPr>
            <w:tcW w:type="dxa" w:w="3953"/>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Basic PDF with hardcoded data.</w:t>
            </w:r>
          </w:p>
        </w:tc>
        <w:tc>
          <w:tcPr>
            <w:tcW w:type="dxa" w:w="3953"/>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PDF and JSON exports with live data, genuine timestamps, and snapshot references.</w:t>
            </w:r>
          </w:p>
        </w:tc>
      </w:tr>
    </w:tbl>
    <w:p>
      <w:r>
        <w:br w:type="page"/>
      </w:r>
    </w:p>
    <w:p>
      <w:pPr>
        <w:pStyle w:val="Heading1"/>
        <w:spacing w:after="200" w:before="360"/>
      </w:pPr>
      <w:r>
        <w:rPr>
          <w:rFonts w:ascii="Arial" w:cs="Arial" w:eastAsia="Arial" w:hAnsi="Arial"/>
          <w:b/>
          <w:bCs/>
          <w:sz w:val="32"/>
          <w:szCs w:val="32"/>
        </w:rPr>
        <w:t xml:space="preserve">8. Pilot Scoping Checklist</w:t>
      </w:r>
    </w:p>
    <w:p>
      <w:pPr>
        <w:spacing w:after="160"/>
      </w:pPr>
      <w:r>
        <w:rPr>
          <w:rFonts w:ascii="Arial" w:cs="Arial" w:eastAsia="Arial" w:hAnsi="Arial"/>
          <w:sz w:val="22"/>
          <w:szCs w:val="22"/>
        </w:rPr>
        <w:t xml:space="preserve">The final segment of the 2 July call gathers the inputs needed for a formal pilot proposal.</w:t>
      </w:r>
    </w:p>
    <w:p>
      <w:pPr>
        <w:pStyle w:val="Heading2"/>
        <w:spacing w:after="160" w:before="280"/>
      </w:pPr>
      <w:r>
        <w:rPr>
          <w:rFonts w:ascii="Arial" w:cs="Arial" w:eastAsia="Arial" w:hAnsi="Arial"/>
          <w:b/>
          <w:bCs/>
          <w:sz w:val="28"/>
          <w:szCs w:val="28"/>
        </w:rPr>
        <w:t xml:space="preserve">8.1 Scope</w:t>
      </w:r>
    </w:p>
    <w:p>
      <w:pPr>
        <w:pStyle w:val="ListParagraph"/>
        <w:numPr>
          <w:ilvl w:val="0"/>
          <w:numId w:val="2"/>
        </w:numPr>
        <w:spacing w:after="100"/>
      </w:pPr>
      <w:r>
        <w:rPr>
          <w:rFonts w:ascii="Arial" w:cs="Arial" w:eastAsia="Arial" w:hAnsi="Arial"/>
          <w:sz w:val="22"/>
          <w:szCs w:val="22"/>
        </w:rPr>
        <w:t xml:space="preserve">Which specific tokens does ADGM currently supervise or have regulatory responsibility for?</w:t>
      </w:r>
    </w:p>
    <w:p>
      <w:pPr>
        <w:pStyle w:val="ListParagraph"/>
        <w:numPr>
          <w:ilvl w:val="0"/>
          <w:numId w:val="2"/>
        </w:numPr>
        <w:spacing w:after="100"/>
      </w:pPr>
      <w:r>
        <w:rPr>
          <w:rFonts w:ascii="Arial" w:cs="Arial" w:eastAsia="Arial" w:hAnsi="Arial"/>
          <w:sz w:val="22"/>
          <w:szCs w:val="22"/>
        </w:rPr>
        <w:t xml:space="preserve">Which licensed venues or token issuers would be most relevant for the pilot?</w:t>
      </w:r>
    </w:p>
    <w:p>
      <w:pPr>
        <w:pStyle w:val="ListParagraph"/>
        <w:numPr>
          <w:ilvl w:val="0"/>
          <w:numId w:val="2"/>
        </w:numPr>
        <w:spacing w:after="100"/>
      </w:pPr>
      <w:r>
        <w:rPr>
          <w:rFonts w:ascii="Arial" w:cs="Arial" w:eastAsia="Arial" w:hAnsi="Arial"/>
          <w:sz w:val="22"/>
          <w:szCs w:val="22"/>
        </w:rPr>
        <w:t xml:space="preserve">Are there particular market integrity concerns that are highest priority?</w:t>
      </w:r>
    </w:p>
    <w:p>
      <w:pPr>
        <w:pStyle w:val="ListParagraph"/>
        <w:numPr>
          <w:ilvl w:val="0"/>
          <w:numId w:val="2"/>
        </w:numPr>
        <w:spacing w:after="100"/>
      </w:pPr>
      <w:r>
        <w:rPr>
          <w:rFonts w:ascii="Arial" w:cs="Arial" w:eastAsia="Arial" w:hAnsi="Arial"/>
          <w:sz w:val="22"/>
          <w:szCs w:val="22"/>
        </w:rPr>
        <w:t xml:space="preserve">Subset of supervised tokens, or full portfolio?</w:t>
      </w:r>
    </w:p>
    <w:p>
      <w:pPr>
        <w:pStyle w:val="Heading2"/>
        <w:spacing w:after="160" w:before="280"/>
      </w:pPr>
      <w:r>
        <w:rPr>
          <w:rFonts w:ascii="Arial" w:cs="Arial" w:eastAsia="Arial" w:hAnsi="Arial"/>
          <w:b/>
          <w:bCs/>
          <w:sz w:val="28"/>
          <w:szCs w:val="28"/>
        </w:rPr>
        <w:t xml:space="preserve">8.2 Timeline</w:t>
      </w:r>
    </w:p>
    <w:p>
      <w:pPr>
        <w:pStyle w:val="ListParagraph"/>
        <w:numPr>
          <w:ilvl w:val="0"/>
          <w:numId w:val="3"/>
        </w:numPr>
        <w:spacing w:after="100"/>
      </w:pPr>
      <w:r>
        <w:rPr>
          <w:rFonts w:ascii="Arial" w:cs="Arial" w:eastAsia="Arial" w:hAnsi="Arial"/>
          <w:sz w:val="22"/>
          <w:szCs w:val="22"/>
        </w:rPr>
        <w:t xml:space="preserve">Preferred start date? Is July realistic from ADGM's side?</w:t>
      </w:r>
    </w:p>
    <w:p>
      <w:pPr>
        <w:pStyle w:val="ListParagraph"/>
        <w:numPr>
          <w:ilvl w:val="0"/>
          <w:numId w:val="3"/>
        </w:numPr>
        <w:spacing w:after="100"/>
      </w:pPr>
      <w:r>
        <w:rPr>
          <w:rFonts w:ascii="Arial" w:cs="Arial" w:eastAsia="Arial" w:hAnsi="Arial"/>
          <w:sz w:val="22"/>
          <w:szCs w:val="22"/>
        </w:rPr>
        <w:t xml:space="preserve">Duration? (Suggest 90 days as a starting point.)</w:t>
      </w:r>
    </w:p>
    <w:p>
      <w:pPr>
        <w:pStyle w:val="ListParagraph"/>
        <w:numPr>
          <w:ilvl w:val="0"/>
          <w:numId w:val="3"/>
        </w:numPr>
        <w:spacing w:after="100"/>
      </w:pPr>
      <w:r>
        <w:rPr>
          <w:rFonts w:ascii="Arial" w:cs="Arial" w:eastAsia="Arial" w:hAnsi="Arial"/>
          <w:sz w:val="22"/>
          <w:szCs w:val="22"/>
        </w:rPr>
        <w:t xml:space="preserve">Internal milestones, budget cycles, or reporting deadlines to align with?</w:t>
      </w:r>
    </w:p>
    <w:p>
      <w:pPr>
        <w:pStyle w:val="ListParagraph"/>
        <w:numPr>
          <w:ilvl w:val="0"/>
          <w:numId w:val="3"/>
        </w:numPr>
        <w:spacing w:after="100"/>
      </w:pPr>
      <w:r>
        <w:rPr>
          <w:rFonts w:ascii="Arial" w:cs="Arial" w:eastAsia="Arial" w:hAnsi="Arial"/>
          <w:sz w:val="22"/>
          <w:szCs w:val="22"/>
        </w:rPr>
        <w:t xml:space="preserve">Internal approval process for a pilot of this nature?</w:t>
      </w:r>
    </w:p>
    <w:p>
      <w:pPr>
        <w:pStyle w:val="Heading2"/>
        <w:spacing w:after="160" w:before="280"/>
      </w:pPr>
      <w:r>
        <w:rPr>
          <w:rFonts w:ascii="Arial" w:cs="Arial" w:eastAsia="Arial" w:hAnsi="Arial"/>
          <w:b/>
          <w:bCs/>
          <w:sz w:val="28"/>
          <w:szCs w:val="28"/>
        </w:rPr>
        <w:t xml:space="preserve">8.3 Deliverables and Reporting</w:t>
      </w:r>
    </w:p>
    <w:p>
      <w:pPr>
        <w:pStyle w:val="ListParagraph"/>
        <w:numPr>
          <w:ilvl w:val="0"/>
          <w:numId w:val="4"/>
        </w:numPr>
        <w:spacing w:after="100"/>
      </w:pPr>
      <w:r>
        <w:rPr>
          <w:rFonts w:ascii="Arial" w:cs="Arial" w:eastAsia="Arial" w:hAnsi="Arial"/>
          <w:sz w:val="22"/>
          <w:szCs w:val="22"/>
        </w:rPr>
        <w:t xml:space="preserve">What reporting formats does the team currently use?</w:t>
      </w:r>
    </w:p>
    <w:p>
      <w:pPr>
        <w:pStyle w:val="ListParagraph"/>
        <w:numPr>
          <w:ilvl w:val="0"/>
          <w:numId w:val="4"/>
        </w:numPr>
        <w:spacing w:after="100"/>
      </w:pPr>
      <w:r>
        <w:rPr>
          <w:rFonts w:ascii="Arial" w:cs="Arial" w:eastAsia="Arial" w:hAnsi="Arial"/>
          <w:sz w:val="22"/>
          <w:szCs w:val="22"/>
        </w:rPr>
        <w:t xml:space="preserve">Frequency: daily, weekly, real-time dashboard, or combination?</w:t>
      </w:r>
    </w:p>
    <w:p>
      <w:pPr>
        <w:pStyle w:val="ListParagraph"/>
        <w:numPr>
          <w:ilvl w:val="0"/>
          <w:numId w:val="4"/>
        </w:numPr>
        <w:spacing w:after="100"/>
      </w:pPr>
      <w:r>
        <w:rPr>
          <w:rFonts w:ascii="Arial" w:cs="Arial" w:eastAsia="Arial" w:hAnsi="Arial"/>
          <w:sz w:val="22"/>
          <w:szCs w:val="22"/>
        </w:rPr>
        <w:t xml:space="preserve">Alert delivery: dashboard-only, email, or system integration?</w:t>
      </w:r>
    </w:p>
    <w:p>
      <w:pPr>
        <w:pStyle w:val="ListParagraph"/>
        <w:numPr>
          <w:ilvl w:val="0"/>
          <w:numId w:val="4"/>
        </w:numPr>
        <w:spacing w:after="100"/>
      </w:pPr>
      <w:r>
        <w:rPr>
          <w:rFonts w:ascii="Arial" w:cs="Arial" w:eastAsia="Arial" w:hAnsi="Arial"/>
          <w:sz w:val="22"/>
          <w:szCs w:val="22"/>
        </w:rPr>
        <w:t xml:space="preserve">What does a successful pilot look like? What is needed to move to production?</w:t>
      </w:r>
    </w:p>
    <w:p>
      <w:pPr>
        <w:pStyle w:val="Heading2"/>
        <w:spacing w:after="160" w:before="280"/>
      </w:pPr>
      <w:r>
        <w:rPr>
          <w:rFonts w:ascii="Arial" w:cs="Arial" w:eastAsia="Arial" w:hAnsi="Arial"/>
          <w:b/>
          <w:bCs/>
          <w:sz w:val="28"/>
          <w:szCs w:val="28"/>
        </w:rPr>
        <w:t xml:space="preserve">8.4 Resources and Access</w:t>
      </w:r>
    </w:p>
    <w:p>
      <w:pPr>
        <w:pStyle w:val="ListParagraph"/>
        <w:numPr>
          <w:ilvl w:val="0"/>
          <w:numId w:val="5"/>
        </w:numPr>
        <w:spacing w:after="100"/>
      </w:pPr>
      <w:r>
        <w:rPr>
          <w:rFonts w:ascii="Arial" w:cs="Arial" w:eastAsia="Arial" w:hAnsi="Arial"/>
          <w:sz w:val="22"/>
          <w:szCs w:val="22"/>
        </w:rPr>
        <w:t xml:space="preserve">Who are the day-to-day users during the pilot?</w:t>
      </w:r>
    </w:p>
    <w:p>
      <w:pPr>
        <w:pStyle w:val="ListParagraph"/>
        <w:numPr>
          <w:ilvl w:val="0"/>
          <w:numId w:val="5"/>
        </w:numPr>
        <w:spacing w:after="100"/>
      </w:pPr>
      <w:r>
        <w:rPr>
          <w:rFonts w:ascii="Arial" w:cs="Arial" w:eastAsia="Arial" w:hAnsi="Arial"/>
          <w:sz w:val="22"/>
          <w:szCs w:val="22"/>
        </w:rPr>
        <w:t xml:space="preserve">IT, security, or data governance requirements? (Data residency, access controls, penetration testing.)</w:t>
      </w:r>
    </w:p>
    <w:p>
      <w:pPr>
        <w:pStyle w:val="ListParagraph"/>
        <w:numPr>
          <w:ilvl w:val="0"/>
          <w:numId w:val="5"/>
        </w:numPr>
        <w:spacing w:after="100"/>
      </w:pPr>
      <w:r>
        <w:rPr>
          <w:rFonts w:ascii="Arial" w:cs="Arial" w:eastAsia="Arial" w:hAnsi="Arial"/>
          <w:sz w:val="22"/>
          <w:szCs w:val="22"/>
        </w:rPr>
        <w:t xml:space="preserve">Formal agreement, MOU, or procurement process required?</w:t>
      </w:r>
    </w:p>
    <w:p>
      <w:pPr>
        <w:pStyle w:val="ListParagraph"/>
        <w:numPr>
          <w:ilvl w:val="0"/>
          <w:numId w:val="5"/>
        </w:numPr>
        <w:spacing w:after="100"/>
      </w:pPr>
      <w:r>
        <w:rPr>
          <w:rFonts w:ascii="Arial" w:cs="Arial" w:eastAsia="Arial" w:hAnsi="Arial"/>
          <w:sz w:val="22"/>
          <w:szCs w:val="22"/>
        </w:rPr>
        <w:t xml:space="preserve">Budget or commercial arrangement, or evaluation at no cost?</w:t>
      </w:r>
    </w:p>
    <w:p>
      <w:pPr>
        <w:pStyle w:val="Heading2"/>
        <w:spacing w:after="160" w:before="280"/>
      </w:pPr>
      <w:r>
        <w:rPr>
          <w:rFonts w:ascii="Arial" w:cs="Arial" w:eastAsia="Arial" w:hAnsi="Arial"/>
          <w:b/>
          <w:bCs/>
          <w:sz w:val="28"/>
          <w:szCs w:val="28"/>
        </w:rPr>
        <w:t xml:space="preserve">8.5 Engagement Model</w:t>
      </w:r>
    </w:p>
    <w:p>
      <w:pPr>
        <w:pStyle w:val="ListParagraph"/>
        <w:numPr>
          <w:ilvl w:val="0"/>
          <w:numId w:val="6"/>
        </w:numPr>
        <w:spacing w:after="100"/>
      </w:pPr>
      <w:r>
        <w:rPr>
          <w:rFonts w:ascii="Arial" w:cs="Arial" w:eastAsia="Arial" w:hAnsi="Arial"/>
          <w:sz w:val="22"/>
          <w:szCs w:val="22"/>
        </w:rPr>
        <w:t xml:space="preserve">Meeting frequency during the pilot? (Suggest fortnightly.)</w:t>
      </w:r>
    </w:p>
    <w:p>
      <w:pPr>
        <w:pStyle w:val="ListParagraph"/>
        <w:numPr>
          <w:ilvl w:val="0"/>
          <w:numId w:val="6"/>
        </w:numPr>
        <w:spacing w:after="100"/>
      </w:pPr>
      <w:r>
        <w:rPr>
          <w:rFonts w:ascii="Arial" w:cs="Arial" w:eastAsia="Arial" w:hAnsi="Arial"/>
          <w:sz w:val="22"/>
          <w:szCs w:val="22"/>
        </w:rPr>
        <w:t xml:space="preserve">Primary point of contact on ADGM's side?</w:t>
      </w:r>
    </w:p>
    <w:p>
      <w:pPr>
        <w:pStyle w:val="ListParagraph"/>
        <w:numPr>
          <w:ilvl w:val="0"/>
          <w:numId w:val="6"/>
        </w:numPr>
        <w:spacing w:after="100"/>
      </w:pPr>
      <w:r>
        <w:rPr>
          <w:rFonts w:ascii="Arial" w:cs="Arial" w:eastAsia="Arial" w:hAnsi="Arial"/>
          <w:sz w:val="22"/>
          <w:szCs w:val="22"/>
        </w:rPr>
        <w:t xml:space="preserve">Comfortable with Stratalink referencing the pilot (without confidential detail) to other regulators?</w:t>
      </w:r>
    </w:p>
    <w:p>
      <w:pPr>
        <w:pStyle w:val="ListParagraph"/>
        <w:numPr>
          <w:ilvl w:val="0"/>
          <w:numId w:val="6"/>
        </w:numPr>
        <w:spacing w:after="100"/>
      </w:pPr>
      <w:r>
        <w:rPr>
          <w:rFonts w:ascii="Arial" w:cs="Arial" w:eastAsia="Arial" w:hAnsi="Arial"/>
          <w:sz w:val="22"/>
          <w:szCs w:val="22"/>
        </w:rPr>
        <w:t xml:space="preserve">Interested in participating as a design partner for PoMI?</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856404" w:sz="1"/>
              <w:left w:val="single" w:color="856404" w:sz="6"/>
              <w:bottom w:val="single" w:color="856404" w:sz="1"/>
              <w:right w:val="single" w:color="856404" w:sz="1"/>
            </w:tcBorders>
            <w:shd w:fill="FFF3CD" w:val="clear"/>
            <w:tcMar>
              <w:top w:type="dxa" w:w="120"/>
              <w:left w:type="dxa" w:w="200"/>
              <w:bottom w:type="dxa" w:w="120"/>
              <w:right w:type="dxa" w:w="200"/>
            </w:tcMar>
          </w:tcPr>
          <w:p>
            <w:r>
              <w:rPr>
                <w:rFonts w:ascii="Arial" w:cs="Arial" w:eastAsia="Arial" w:hAnsi="Arial"/>
                <w:i/>
                <w:iCs/>
                <w:sz w:val="22"/>
                <w:szCs w:val="22"/>
              </w:rPr>
              <w:t xml:space="preserve">The answers form the basis of the formal pilot proposal. After the call, Stratalink produces a tailored proposal reflecting ADGM's stated requirements.</w:t>
            </w:r>
          </w:p>
        </w:tc>
      </w:tr>
    </w:tbl>
    <w:p>
      <w:r>
        <w:br w:type="page"/>
      </w:r>
    </w:p>
    <w:p>
      <w:pPr>
        <w:pStyle w:val="Heading1"/>
        <w:spacing w:after="200" w:before="360"/>
      </w:pPr>
      <w:r>
        <w:rPr>
          <w:rFonts w:ascii="Arial" w:cs="Arial" w:eastAsia="Arial" w:hAnsi="Arial"/>
          <w:b/>
          <w:bCs/>
          <w:sz w:val="32"/>
          <w:szCs w:val="32"/>
        </w:rPr>
        <w:t xml:space="preserve">9. Summary: What ADGM Gets</w:t>
      </w:r>
    </w:p>
    <w:p>
      <w:pPr>
        <w:spacing w:after="160"/>
      </w:pPr>
      <w:r>
        <w:rPr>
          <w:rFonts w:ascii="Arial" w:cs="Arial" w:eastAsia="Arial" w:hAnsi="Arial"/>
          <w:sz w:val="22"/>
          <w:szCs w:val="22"/>
        </w:rPr>
        <w:t xml:space="preserve">To answer the core question directly.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2"/>
                <w:szCs w:val="22"/>
              </w:rPr>
              <w:t xml:space="preserve">Question</w:t>
            </w:r>
          </w:p>
        </w:tc>
        <w:tc>
          <w:tcPr>
            <w:tcW w:type="dxa" w:w="4753"/>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2"/>
                <w:szCs w:val="22"/>
              </w:rPr>
              <w:t xml:space="preserve">Answer</w:t>
            </w:r>
          </w:p>
        </w:tc>
      </w:tr>
      <w:tr>
        <w:tc>
          <w:tcPr>
            <w:tcW w:type="dxa" w:w="47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What do I get?</w:t>
            </w:r>
          </w:p>
        </w:tc>
        <w:tc>
          <w:tcPr>
            <w:tcW w:type="dxa" w:w="47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Independent, real-time, cross-venue liquidity verification and market integrity intelligence for every token ADGM supervises. Data from an independent infrastructure provider, not from the venues you regulate.</w:t>
            </w:r>
          </w:p>
        </w:tc>
      </w:tr>
      <w:tr>
        <w:tc>
          <w:tcPr>
            <w:tcW w:type="dxa" w:w="4753"/>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How will I use it day-to-day?</w:t>
            </w:r>
          </w:p>
        </w:tc>
        <w:tc>
          <w:tcPr>
            <w:tcW w:type="dxa" w:w="4753"/>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Morning dashboard review. RAG status across supervised tokens. Drill into any token for venue-level detail. Review alerts. Generate or receive automated reports.</w:t>
            </w:r>
          </w:p>
        </w:tc>
      </w:tr>
      <w:tr>
        <w:tc>
          <w:tcPr>
            <w:tcW w:type="dxa" w:w="47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What reports?</w:t>
            </w:r>
          </w:p>
        </w:tc>
        <w:tc>
          <w:tcPr>
            <w:tcW w:type="dxa" w:w="47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Daily token liquidity summaries. Weekly integrity digests. Monthly supervisory overviews. Real-time alerts. All reports use independently verified data with full audit trail.</w:t>
            </w:r>
          </w:p>
        </w:tc>
      </w:tr>
      <w:tr>
        <w:tc>
          <w:tcPr>
            <w:tcW w:type="dxa" w:w="4753"/>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How does it help my team?</w:t>
            </w:r>
          </w:p>
        </w:tc>
        <w:tc>
          <w:tcPr>
            <w:tcW w:type="dxa" w:w="4753"/>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sz w:val="22"/>
                <w:szCs w:val="22"/>
              </w:rPr>
              <w:t xml:space="preserve">Replaces reliance on venue-reported data. Gives advance warning of deteriorating conditions. Provides cryptographically verified evidence for enforcement.</w:t>
            </w:r>
          </w:p>
        </w:tc>
      </w:tr>
      <w:tr>
        <w:tc>
          <w:tcPr>
            <w:tcW w:type="dxa" w:w="47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What do I get that I do not have today?</w:t>
            </w:r>
          </w:p>
        </w:tc>
        <w:tc>
          <w:tcPr>
            <w:tcW w:type="dxa" w:w="47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Independent cross-venue visibility. Advance crisis detection (6 to 8 hours). Manipulation detection across six pattern types. Cryptographic attestation on Canton MainNet. Evidentiary standard for regulatory use. First-mover positioning.</w:t>
            </w:r>
          </w:p>
        </w:tc>
      </w:tr>
    </w:tbl>
    <w:p>
      <w:pPr>
        <w:spacing w:after="80"/>
      </w:pPr>
    </w:p>
    <w:p>
      <w:pPr>
        <w:spacing w:after="80"/>
      </w:pPr>
    </w:p>
    <w:p>
      <w:pPr>
        <w:spacing w:before="400"/>
        <w:jc w:val="center"/>
      </w:pPr>
      <w:r>
        <w:rPr>
          <w:rFonts w:ascii="Arial" w:cs="Arial" w:eastAsia="Arial" w:hAnsi="Arial"/>
          <w:i/>
          <w:iCs/>
          <w:color w:val="999999"/>
          <w:sz w:val="20"/>
          <w:szCs w:val="20"/>
        </w:rPr>
        <w:t xml:space="preserve">End of Document</w:t>
      </w:r>
    </w:p>
    <w:sectPr>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2026-06-24T16:05:19.313Z</dcterms:created>
  <dcterms:modified xsi:type="dcterms:W3CDTF">2026-06-24T16:05:19.328Z</dcterms:modified>
</cp:coreProperties>
</file>

<file path=docProps/custom.xml><?xml version="1.0" encoding="utf-8"?>
<Properties xmlns="http://schemas.openxmlformats.org/officeDocument/2006/custom-properties" xmlns:vt="http://schemas.openxmlformats.org/officeDocument/2006/docPropsVTypes"/>
</file>