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8F7C" w14:textId="6BA5C731" w:rsidR="00A9204E" w:rsidRDefault="00203ADE">
      <w:pPr>
        <w:rPr>
          <w:rFonts w:ascii="Arial" w:hAnsi="Arial" w:cs="Arial"/>
          <w:color w:val="000000"/>
        </w:rPr>
      </w:pPr>
      <w:r>
        <w:rPr>
          <w:rFonts w:ascii="Arial" w:hAnsi="Arial" w:cs="Arial"/>
          <w:b/>
          <w:bCs/>
          <w:color w:val="000000"/>
        </w:rPr>
        <w:t xml:space="preserve">7) </w:t>
      </w:r>
      <w:r>
        <w:rPr>
          <w:rFonts w:ascii="Arial" w:hAnsi="Arial" w:cs="Arial"/>
          <w:b/>
          <w:bCs/>
          <w:color w:val="000000"/>
        </w:rPr>
        <w:t xml:space="preserve">Buyer Sales Report: </w:t>
      </w:r>
      <w:r>
        <w:rPr>
          <w:rFonts w:ascii="Arial" w:hAnsi="Arial" w:cs="Arial"/>
          <w:color w:val="000000"/>
        </w:rPr>
        <w:t>Shows buyers in alphabetical order by last name. Works purchased this year are listed for each buyer ordered by date of purchase.</w:t>
      </w:r>
    </w:p>
    <w:p w14:paraId="4AE3D95B" w14:textId="221658B8" w:rsidR="00203ADE" w:rsidRDefault="00203ADE">
      <w:pPr>
        <w:rPr>
          <w:rFonts w:ascii="Arial" w:hAnsi="Arial" w:cs="Arial"/>
          <w:color w:val="000000"/>
        </w:rPr>
      </w:pPr>
    </w:p>
    <w:p w14:paraId="4E564A75" w14:textId="4546444C" w:rsidR="00203ADE" w:rsidRDefault="00203ADE">
      <w:r w:rsidRPr="00203ADE">
        <w:t>SELECT Last_Name, First_Name, Inventory_ID, Sale_Date FROM Customer, Sale WHERE Customer.Customer_ID = Sale.Customer_ID AND Sale_Date &gt;= DATSESUB(</w:t>
      </w:r>
      <w:proofErr w:type="gramStart"/>
      <w:r w:rsidRPr="00203ADE">
        <w:t>CURDATE(</w:t>
      </w:r>
      <w:proofErr w:type="gramEnd"/>
      <w:r w:rsidRPr="00203ADE">
        <w:t>), INTERVAL 1 YEAR) ORDER BY Last_Name, First_Name</w:t>
      </w:r>
      <w:r w:rsidR="004A5450">
        <w:t>, Sale_Date</w:t>
      </w:r>
      <w:r w:rsidRPr="00203ADE">
        <w:t>;</w:t>
      </w:r>
    </w:p>
    <w:p w14:paraId="376A35C3" w14:textId="009D5748" w:rsidR="00203ADE" w:rsidRDefault="00203ADE"/>
    <w:p w14:paraId="2F2A05AD" w14:textId="55C3AF7F" w:rsidR="00203ADE" w:rsidRDefault="00203ADE">
      <w:pPr>
        <w:rPr>
          <w:b/>
          <w:bCs/>
        </w:rPr>
      </w:pPr>
    </w:p>
    <w:p w14:paraId="4F30731A" w14:textId="4C44644B" w:rsidR="00203ADE" w:rsidRDefault="00203ADE">
      <w:pPr>
        <w:rPr>
          <w:rFonts w:ascii="Arial" w:hAnsi="Arial" w:cs="Arial"/>
          <w:color w:val="000000"/>
        </w:rPr>
      </w:pPr>
      <w:r>
        <w:rPr>
          <w:rFonts w:ascii="Arial" w:hAnsi="Arial" w:cs="Arial"/>
          <w:b/>
          <w:bCs/>
          <w:color w:val="000000"/>
        </w:rPr>
        <w:t xml:space="preserve">10) </w:t>
      </w:r>
      <w:r>
        <w:rPr>
          <w:rFonts w:ascii="Arial" w:hAnsi="Arial" w:cs="Arial"/>
          <w:b/>
          <w:bCs/>
          <w:color w:val="000000"/>
        </w:rPr>
        <w:t>Aged Artworks Report:</w:t>
      </w:r>
      <w:r>
        <w:rPr>
          <w:rFonts w:ascii="Arial" w:hAnsi="Arial" w:cs="Arial"/>
          <w:color w:val="000000"/>
        </w:rPr>
        <w:t xml:space="preserve"> Generated at the end of each month. Lists the works of art that have been for sale in the gallery for six months or more. BCCAG uses it to contact the artist or collector to determine whether the works should be returned, discounted, or remain for sale for an additional period of time.</w:t>
      </w:r>
    </w:p>
    <w:p w14:paraId="64C28016" w14:textId="14B8A802" w:rsidR="00203ADE" w:rsidRDefault="00203ADE">
      <w:pPr>
        <w:rPr>
          <w:rFonts w:ascii="Arial" w:hAnsi="Arial" w:cs="Arial"/>
          <w:color w:val="000000"/>
        </w:rPr>
      </w:pPr>
    </w:p>
    <w:p w14:paraId="0B120A4E" w14:textId="25717B7C" w:rsidR="00203ADE" w:rsidRDefault="00203ADE">
      <w:r w:rsidRPr="00203ADE">
        <w:t>SELECT Inventory_ID, Date_Listed FROM Artwork WHERE Date_Listed &lt;= DATESUB(CURDATE(), INTERVAL 6 MONTH);</w:t>
      </w:r>
    </w:p>
    <w:p w14:paraId="0D9B0E87" w14:textId="108919A7" w:rsidR="00203ADE" w:rsidRDefault="00203ADE"/>
    <w:p w14:paraId="76A9CF84" w14:textId="4298E89A" w:rsidR="00203ADE" w:rsidRDefault="00203ADE">
      <w:pPr>
        <w:rPr>
          <w:rFonts w:ascii="Arial" w:hAnsi="Arial" w:cs="Arial"/>
          <w:color w:val="000000"/>
        </w:rPr>
      </w:pPr>
      <w:r>
        <w:rPr>
          <w:rFonts w:ascii="Arial" w:hAnsi="Arial" w:cs="Arial"/>
          <w:b/>
          <w:bCs/>
          <w:color w:val="000000"/>
        </w:rPr>
        <w:t xml:space="preserve">12) </w:t>
      </w:r>
      <w:r>
        <w:rPr>
          <w:rFonts w:ascii="Arial" w:hAnsi="Arial" w:cs="Arial"/>
          <w:b/>
          <w:bCs/>
          <w:color w:val="000000"/>
        </w:rPr>
        <w:t xml:space="preserve">Art Show Details: </w:t>
      </w:r>
      <w:r>
        <w:rPr>
          <w:rFonts w:ascii="Arial" w:hAnsi="Arial" w:cs="Arial"/>
          <w:color w:val="000000"/>
        </w:rPr>
        <w:t>Provides a historical record of each art show For each show, this report provides information about the dates, featured artist or theme, and works shown.</w:t>
      </w:r>
    </w:p>
    <w:p w14:paraId="7F202213" w14:textId="0EC833B5" w:rsidR="00203ADE" w:rsidRDefault="00203ADE">
      <w:pPr>
        <w:rPr>
          <w:rFonts w:ascii="Arial" w:hAnsi="Arial" w:cs="Arial"/>
          <w:color w:val="000000"/>
        </w:rPr>
      </w:pPr>
    </w:p>
    <w:p w14:paraId="31746386" w14:textId="06D1AC99" w:rsidR="00203ADE" w:rsidRPr="00203ADE" w:rsidRDefault="00203ADE">
      <w:r w:rsidRPr="00203ADE">
        <w:t xml:space="preserve">SELECT Show_ID, Show_Date, Artist_Theme, Inventory_ID </w:t>
      </w:r>
      <w:r>
        <w:t>FROM</w:t>
      </w:r>
      <w:r w:rsidRPr="00203ADE">
        <w:t xml:space="preserve"> Show GROUP BY Show_ID ORDER BY Show_Date;</w:t>
      </w:r>
    </w:p>
    <w:sectPr w:rsidR="00203ADE" w:rsidRPr="0020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41822836">
    <w:abstractNumId w:val="19"/>
  </w:num>
  <w:num w:numId="2" w16cid:durableId="1364597241">
    <w:abstractNumId w:val="12"/>
  </w:num>
  <w:num w:numId="3" w16cid:durableId="1021513210">
    <w:abstractNumId w:val="10"/>
  </w:num>
  <w:num w:numId="4" w16cid:durableId="1177622420">
    <w:abstractNumId w:val="21"/>
  </w:num>
  <w:num w:numId="5" w16cid:durableId="1183664705">
    <w:abstractNumId w:val="13"/>
  </w:num>
  <w:num w:numId="6" w16cid:durableId="1757821935">
    <w:abstractNumId w:val="16"/>
  </w:num>
  <w:num w:numId="7" w16cid:durableId="103351079">
    <w:abstractNumId w:val="18"/>
  </w:num>
  <w:num w:numId="8" w16cid:durableId="172647190">
    <w:abstractNumId w:val="9"/>
  </w:num>
  <w:num w:numId="9" w16cid:durableId="1725443897">
    <w:abstractNumId w:val="7"/>
  </w:num>
  <w:num w:numId="10" w16cid:durableId="776026392">
    <w:abstractNumId w:val="6"/>
  </w:num>
  <w:num w:numId="11" w16cid:durableId="2082170722">
    <w:abstractNumId w:val="5"/>
  </w:num>
  <w:num w:numId="12" w16cid:durableId="446050737">
    <w:abstractNumId w:val="4"/>
  </w:num>
  <w:num w:numId="13" w16cid:durableId="1798798266">
    <w:abstractNumId w:val="8"/>
  </w:num>
  <w:num w:numId="14" w16cid:durableId="759716917">
    <w:abstractNumId w:val="3"/>
  </w:num>
  <w:num w:numId="15" w16cid:durableId="1898740909">
    <w:abstractNumId w:val="2"/>
  </w:num>
  <w:num w:numId="16" w16cid:durableId="1450977289">
    <w:abstractNumId w:val="1"/>
  </w:num>
  <w:num w:numId="17" w16cid:durableId="1657146015">
    <w:abstractNumId w:val="0"/>
  </w:num>
  <w:num w:numId="18" w16cid:durableId="822236361">
    <w:abstractNumId w:val="14"/>
  </w:num>
  <w:num w:numId="19" w16cid:durableId="1801340885">
    <w:abstractNumId w:val="15"/>
  </w:num>
  <w:num w:numId="20" w16cid:durableId="1357270038">
    <w:abstractNumId w:val="20"/>
  </w:num>
  <w:num w:numId="21" w16cid:durableId="2106723397">
    <w:abstractNumId w:val="17"/>
  </w:num>
  <w:num w:numId="22" w16cid:durableId="1707631461">
    <w:abstractNumId w:val="11"/>
  </w:num>
  <w:num w:numId="23" w16cid:durableId="14230617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DE"/>
    <w:rsid w:val="00203ADE"/>
    <w:rsid w:val="004A5450"/>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6E6F"/>
  <w15:chartTrackingRefBased/>
  <w15:docId w15:val="{00A841A0-6395-4128-A439-C731353A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ti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Static</dc:creator>
  <cp:keywords/>
  <dc:description/>
  <cp:lastModifiedBy>James Bradley</cp:lastModifiedBy>
  <cp:revision>2</cp:revision>
  <dcterms:created xsi:type="dcterms:W3CDTF">2022-10-21T23:28:00Z</dcterms:created>
  <dcterms:modified xsi:type="dcterms:W3CDTF">2022-10-21T23:34:00Z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