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[Click here if you wish to view this document in a separate window or tab]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xsulxjxv0d86" w:id="0"/>
      <w:bookmarkEnd w:id="0"/>
      <w:r w:rsidDel="00000000" w:rsidR="00000000" w:rsidRPr="00000000">
        <w:rPr>
          <w:rtl w:val="0"/>
        </w:rPr>
        <w:t xml:space="preserve">BIS 235 Translation Homework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Consider the following ERD: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auetqgnab11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t5nwjvc0fs6h" w:id="2"/>
      <w:bookmarkEnd w:id="2"/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Provide a schema for the MAPPED translation with  each of the resultant tables, indicating any primary key with an underline and any foreign key with an asterisk.</w:t>
      </w:r>
    </w:p>
    <w:p w:rsidR="00000000" w:rsidDel="00000000" w:rsidP="00000000" w:rsidRDefault="00000000" w:rsidRPr="00000000" w14:paraId="00000006">
      <w:pPr>
        <w:pageBreakBefore w:val="0"/>
        <w:spacing w:after="180" w:lineRule="auto"/>
        <w:ind w:right="18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jc w:val="both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Cambria" w:cs="Cambria" w:eastAsia="Cambria" w:hAnsi="Cambria"/>
      <w:sz w:val="42"/>
      <w:szCs w:val="42"/>
    </w:rPr>
  </w:style>
  <w:style w:type="paragraph" w:styleId="Subtitle">
    <w:name w:val="Subtitle"/>
    <w:basedOn w:val="Normal"/>
    <w:next w:val="Normal"/>
    <w:pPr>
      <w:pageBreakBefore w:val="0"/>
      <w:spacing w:line="240" w:lineRule="auto"/>
      <w:ind w:right="100"/>
    </w:pPr>
    <w:rPr>
      <w:rFonts w:ascii="Courier New" w:cs="Courier New" w:eastAsia="Courier New" w:hAnsi="Courier New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9LzGcQnRISyLVGgwCLAhc6aeNvHaxjj_jkuG9yyrNzo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