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 w:cs="Helvetica"/>
          <w:b/>
          <w:b/>
          <w:color w:val="555555"/>
          <w:sz w:val="21"/>
          <w:szCs w:val="21"/>
        </w:rPr>
      </w:pPr>
      <w:r>
        <w:rPr>
          <w:rFonts w:cs="Helvetica" w:ascii="Helvetica" w:hAnsi="Helvetica"/>
          <w:b/>
          <w:color w:val="555555"/>
          <w:sz w:val="21"/>
          <w:szCs w:val="21"/>
        </w:rPr>
        <w:t>Computer Science 302</w:t>
      </w:r>
      <w:r>
        <w:rPr>
          <w:rFonts w:cs="Helvetica" w:ascii="Helvetica" w:hAnsi="Helvetica"/>
          <w:color w:val="555555"/>
          <w:sz w:val="21"/>
          <w:szCs w:val="21"/>
        </w:rPr>
        <w:br/>
        <w:t>Assignment 3: Maintaining a Systems Development Project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tbl>
      <w:tblPr>
        <w:tblW w:w="9344" w:type="dxa"/>
        <w:jc w:val="left"/>
        <w:tblInd w:w="42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HBand="0" w:noVBand="1" w:firstColumn="1" w:lastRow="0" w:lastColumn="0" w:firstRow="1"/>
      </w:tblPr>
      <w:tblGrid>
        <w:gridCol w:w="1365"/>
        <w:gridCol w:w="1569"/>
        <w:gridCol w:w="2004"/>
        <w:gridCol w:w="1699"/>
        <w:gridCol w:w="1685"/>
        <w:gridCol w:w="1021"/>
      </w:tblGrid>
      <w:tr>
        <w:trPr/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Category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Unacceptable (0-1)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Needs Improvement (2-3)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Good (4)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Excellent (5)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Total Possible Points</w:t>
            </w:r>
          </w:p>
        </w:tc>
      </w:tr>
      <w:tr>
        <w:trPr/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Types of Maintenance (x1)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Does not produce a viable discussion for the multiple types of maintenance activities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Provides a limited analysis of the types of maintenance activities; topics covered briefly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Produces an adequate discussion of the types of maintenance activities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Produces a comprehensive analysis of the types of maintenance activities; includes examples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</w:t>
            </w:r>
          </w:p>
        </w:tc>
      </w:tr>
      <w:tr>
        <w:trPr/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Maintenance Activities (x1)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Does not produce a viable discussion of maintenance activities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Provides a limited analysis of specific maintenance activities; topics covered briefly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Produces an adequate discussion of the specific maintenance activities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Produces a comprehensive analysis of the specific maintenance activities; includes examples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</w:t>
            </w:r>
          </w:p>
        </w:tc>
      </w:tr>
      <w:tr>
        <w:trPr>
          <w:trHeight w:val="2880" w:hRule="atLeast"/>
        </w:trPr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Knowledge Retention (x1)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Discussion of knowledge retention is very limited or non-existent.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Very limited analysis of knowledge retention policies/procedures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Adequately analyzes the knowledge retention policies and procedures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Comprehensive analysis of knowledge retention policies and procedures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</w:t>
            </w:r>
          </w:p>
        </w:tc>
      </w:tr>
      <w:tr>
        <w:trPr/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Forward-Looking Activities (x2)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Identifies and analyzes few, if any, forward looking activities in the maintenance phase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Identifies and analyzes only 1 activity in the maintenance phase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Identifies and analyzes 2 of the forward-looking activities with adequate discussion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Comprehensive analysis of the two forward-looking maintenance activities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10/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Clarity, Structure &amp; Organization (x1)</w:t>
            </w:r>
          </w:p>
        </w:tc>
        <w:tc>
          <w:tcPr>
            <w:tcW w:w="15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Disorganized and unclear structure. Language is difficult to understand. Contains grammar, spelling, and punctuation errors.</w:t>
            </w:r>
          </w:p>
        </w:tc>
        <w:tc>
          <w:tcPr>
            <w:tcW w:w="20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Acknowledges the main points, but lacks a cohesive structure. Contains some unclear language and typos.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Addresses the mains points in a cohesive structure. Language is understandable, clear, and correct.</w:t>
            </w:r>
          </w:p>
        </w:tc>
        <w:tc>
          <w:tcPr>
            <w:tcW w:w="1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Main points are very clear and concise Organization is logical; transitions between points are smooth and enhance clarity and delivery of main ideas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4/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</w:t>
            </w:r>
          </w:p>
        </w:tc>
      </w:tr>
    </w:tbl>
    <w:p>
      <w:pPr>
        <w:pStyle w:val="Heading1"/>
        <w:shd w:val="clear" w:color="auto" w:fill="FFFFFF"/>
        <w:spacing w:beforeAutospacing="0" w:before="0" w:afterAutospacing="0" w:after="75"/>
        <w:ind w:left="390" w:hanging="0"/>
        <w:jc w:val="center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cs="Helvetica" w:ascii="Helvetica" w:hAnsi="Helvetica"/>
          <w:sz w:val="22"/>
          <w:szCs w:val="22"/>
        </w:rPr>
        <w:t xml:space="preserve">Total Points: </w:t>
      </w:r>
      <w:r>
        <w:rPr>
          <w:rFonts w:cs="Helvetica" w:ascii="Helvetica" w:hAnsi="Helvetica"/>
          <w:sz w:val="22"/>
          <w:szCs w:val="22"/>
        </w:rPr>
        <w:t>29</w:t>
      </w:r>
      <w:r>
        <w:rPr>
          <w:rFonts w:cs="Helvetica" w:ascii="Helvetica" w:hAnsi="Helvetica"/>
          <w:sz w:val="22"/>
          <w:szCs w:val="22"/>
        </w:rPr>
        <w:t>/30</w:t>
        <w:br/>
        <w:t xml:space="preserve"> 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cs="Helvetica" w:ascii="Helvetica" w:hAnsi="Helvetica"/>
          <w:sz w:val="22"/>
          <w:szCs w:val="22"/>
        </w:rPr>
        <w:t>Grader Notes: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Types of Maintenance: You thoroughly discussed multiple types of maintenance, including corrective maintenance, adaptive maintenance, perfective maintenance, and preventive maintenance. You also provided examples for each type of maintenance. 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Maintenance Activities: You briefly explained maintenance activities, including problem identification, analysis, design, testing, and implementation.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Knowledge Retention: You provided an analysis of knowledge retention policies </w:t>
      </w:r>
      <w:r>
        <w:rPr>
          <w:rFonts w:ascii="Helvetica" w:hAnsi="Helvetica"/>
          <w:sz w:val="22"/>
          <w:szCs w:val="22"/>
        </w:rPr>
        <w:t xml:space="preserve">and procedures. 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Forward-Looking Activities: You discussed two </w:t>
      </w:r>
      <w:r>
        <w:rPr>
          <w:rFonts w:ascii="Helvetica" w:hAnsi="Helvetica"/>
          <w:sz w:val="22"/>
          <w:szCs w:val="22"/>
        </w:rPr>
        <w:t>f</w:t>
      </w:r>
      <w:r>
        <w:rPr>
          <w:rFonts w:ascii="Helvetica" w:hAnsi="Helvetica"/>
          <w:sz w:val="22"/>
          <w:szCs w:val="22"/>
        </w:rPr>
        <w:t xml:space="preserve">orward-looking activities. They are really important activities during the maintenance phase.  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Clarity, Structure &amp; Organization: Your paper is logically organized. The main ideas are easily identifiable. However, it contains several instances of incorrect punctuation, spelling, and usage of standard English grammar. (-1)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</w:t>
      </w:r>
    </w:p>
    <w:p>
      <w:pPr>
        <w:pStyle w:val="Normal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You </w:t>
      </w:r>
      <w:r>
        <w:rPr>
          <w:rFonts w:ascii="Helvetica" w:hAnsi="Helvetica"/>
          <w:sz w:val="22"/>
          <w:szCs w:val="22"/>
        </w:rPr>
        <w:t>should</w:t>
      </w:r>
      <w:r>
        <w:rPr>
          <w:rFonts w:ascii="Helvetica" w:hAnsi="Helvetica"/>
          <w:sz w:val="22"/>
          <w:szCs w:val="22"/>
        </w:rPr>
        <w:t xml:space="preserve"> write your paper in the form of a proposal or other professional document. 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sz w:val="22"/>
          <w:szCs w:val="22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29025" cy="695325"/>
          <wp:effectExtent l="0" t="0" r="0" b="0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cstheme="maj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Times New Roman" w:cstheme="maj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63a9"/>
    <w:pPr>
      <w:spacing w:lineRule="auto" w:line="240"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44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445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63a9"/>
    <w:rPr>
      <w:rFonts w:eastAsia="Times New Roman" w:cs="Times New Roman"/>
      <w:b/>
      <w:bCs/>
      <w:kern w:val="2"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5445a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9f4c0d-9ec9-455f-b944-90a77ffb470b">
      <Terms xmlns="http://schemas.microsoft.com/office/infopath/2007/PartnerControls"/>
    </lcf76f155ced4ddcb4097134ff3c332f>
    <TaxCatchAll xmlns="8c071c3e-8ecb-473b-a4c4-39204d1144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F49ADB4F30B4D97C09DDEEE5F4C4E" ma:contentTypeVersion="16" ma:contentTypeDescription="Create a new document." ma:contentTypeScope="" ma:versionID="580c593e56f7418e6ca3bb07447790f3">
  <xsd:schema xmlns:xsd="http://www.w3.org/2001/XMLSchema" xmlns:xs="http://www.w3.org/2001/XMLSchema" xmlns:p="http://schemas.microsoft.com/office/2006/metadata/properties" xmlns:ns2="469f4c0d-9ec9-455f-b944-90a77ffb470b" xmlns:ns3="8c071c3e-8ecb-473b-a4c4-39204d1144fc" targetNamespace="http://schemas.microsoft.com/office/2006/metadata/properties" ma:root="true" ma:fieldsID="f10f2c0219ffe4264e1e02ce7a083988" ns2:_="" ns3:_="">
    <xsd:import namespace="469f4c0d-9ec9-455f-b944-90a77ffb470b"/>
    <xsd:import namespace="8c071c3e-8ecb-473b-a4c4-39204d114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f4c0d-9ec9-455f-b944-90a77ffb4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0981bdf-eb9b-46cd-9d18-095f5c2bab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1c3e-8ecb-473b-a4c4-39204d114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12b2144-4655-4d8e-93cd-7cf57c92c72e}" ma:internalName="TaxCatchAll" ma:showField="CatchAllData" ma:web="8c071c3e-8ecb-473b-a4c4-39204d1144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02BEAB-CE81-4EB1-9EBE-12E954B7E1C9}"/>
</file>

<file path=customXml/itemProps2.xml><?xml version="1.0" encoding="utf-8"?>
<ds:datastoreItem xmlns:ds="http://schemas.openxmlformats.org/officeDocument/2006/customXml" ds:itemID="{8FCB21DC-4878-4797-8172-53DDEBCBD1B6}"/>
</file>

<file path=customXml/itemProps3.xml><?xml version="1.0" encoding="utf-8"?>
<ds:datastoreItem xmlns:ds="http://schemas.openxmlformats.org/officeDocument/2006/customXml" ds:itemID="{A5C56782-1F53-46A6-A0A1-841C4ED5A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414</Words>
  <Characters>2720</Characters>
  <CharactersWithSpaces>3093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2023-07-17T19:54:00Z</dcterms:created>
  <dc:creator>Ori Gold</dc:creator>
  <dc:description/>
  <dc:language>en-US</dc:language>
  <cp:lastModifiedBy/>
  <dcterms:modified xsi:type="dcterms:W3CDTF">2023-10-16T19:17:01Z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0x0101006EDF49ADB4F30B4D97C09DDEEE5F4C4E</vt:lpwstr>
  </property>
  <property fmtid="{D5CDD505-2E9C-101B-9397-08002B2CF9AE}" pid="3" name="MediaServiceImageTags">
    <vt:lpwstr/>
  </property>
</Properties>
</file>