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5A096" w14:textId="77777777" w:rsidR="00FD38F8" w:rsidRPr="00FD38F8" w:rsidRDefault="00FD38F8" w:rsidP="00FD38F8">
      <w:pPr>
        <w:rPr>
          <w:b/>
          <w:bCs/>
        </w:rPr>
      </w:pPr>
      <w:r w:rsidRPr="00FD38F8">
        <w:rPr>
          <w:b/>
          <w:bCs/>
        </w:rPr>
        <w:t>Institutional-Grade Quantification and Normalization of Smart Money Concepts (SMC) for Machine Learning Backbones</w:t>
      </w:r>
    </w:p>
    <w:p w14:paraId="090E7CF4" w14:textId="77777777" w:rsidR="00FD38F8" w:rsidRPr="00FD38F8" w:rsidRDefault="00FD38F8" w:rsidP="00FD38F8">
      <w:pPr>
        <w:rPr>
          <w:b/>
          <w:bCs/>
        </w:rPr>
      </w:pPr>
      <w:r w:rsidRPr="00FD38F8">
        <w:rPr>
          <w:b/>
          <w:bCs/>
        </w:rPr>
        <w:t>I. Institutional Perspective on Market Microstructure and SMC</w:t>
      </w:r>
    </w:p>
    <w:p w14:paraId="0BDC43AF" w14:textId="77777777" w:rsidR="00FD38F8" w:rsidRPr="00FD38F8" w:rsidRDefault="00FD38F8" w:rsidP="00FD38F8">
      <w:pPr>
        <w:rPr>
          <w:b/>
          <w:bCs/>
        </w:rPr>
      </w:pPr>
      <w:r w:rsidRPr="00FD38F8">
        <w:rPr>
          <w:b/>
          <w:bCs/>
        </w:rPr>
        <w:t>1.0 Decoding Institutional Footprints: SMC as a Quantitative Proxy for Order Flow</w:t>
      </w:r>
    </w:p>
    <w:p w14:paraId="1C1D360A" w14:textId="77777777" w:rsidR="00FD38F8" w:rsidRPr="00FD38F8" w:rsidRDefault="00FD38F8" w:rsidP="00FD38F8">
      <w:r w:rsidRPr="00FD38F8">
        <w:t xml:space="preserve">The Smart Money Concept (SMC) methodology fundamentally reframes technical analysis, moving the focus away from traditional indicator-based trading toward analyzing underlying supply and demand imbalances created by large institutional participants. For a Machine Learning (ML) system, SMC elements—Order Blocks (OBs), Fair Value Gaps (FVGs), and structural shifts—serve as objective, quantifiable proxies for tracking institutional behavior. The goal of adopting this framework is to align algorithmic trading strategies with the powerful flows of banks, prime brokers, and hedge funds, thereby identifying high-probability setups.   </w:t>
      </w:r>
    </w:p>
    <w:p w14:paraId="27AEF095" w14:textId="77777777" w:rsidR="00FD38F8" w:rsidRPr="00FD38F8" w:rsidRDefault="00FD38F8" w:rsidP="00FD38F8">
      <w:pPr>
        <w:rPr>
          <w:b/>
          <w:bCs/>
        </w:rPr>
      </w:pPr>
      <w:r w:rsidRPr="00FD38F8">
        <w:rPr>
          <w:b/>
          <w:bCs/>
        </w:rPr>
        <w:t>1.1 The Role of Liquidity and Bulk Execution in OB Formation</w:t>
      </w:r>
    </w:p>
    <w:p w14:paraId="7D503A86" w14:textId="77777777" w:rsidR="00FD38F8" w:rsidRPr="00FD38F8" w:rsidRDefault="00FD38F8" w:rsidP="00FD38F8">
      <w:r w:rsidRPr="00FD38F8">
        <w:t xml:space="preserve">Order Blocks are not arbitrary zones; they are precise price clusters where major liquidity providers accumulate significant limit orders. This accumulation is necessary because large institutional orders (e.g., a $1 billion trade) cannot be executed instantaneously without causing severe price spiking, a phenomenon known as slippage. To mitigate this impact, desks engage in "bulk execution," layering their bids or offers across several candles to obtain favorable fills. These layered orders establish the Order Block. When price subsequently revisits this zone, the remaining liquidity acts to halt, absorb, or reverse the price movement, creating reliable reaction points.   </w:t>
      </w:r>
    </w:p>
    <w:p w14:paraId="09E221F1" w14:textId="77777777" w:rsidR="00FD38F8" w:rsidRPr="00FD38F8" w:rsidRDefault="00FD38F8" w:rsidP="00FD38F8">
      <w:pPr>
        <w:rPr>
          <w:b/>
          <w:bCs/>
        </w:rPr>
      </w:pPr>
      <w:r w:rsidRPr="00FD38F8">
        <w:rPr>
          <w:b/>
          <w:bCs/>
        </w:rPr>
        <w:t>1.2 The Causal Chain: Displacement and FVG as the Signature of Validity</w:t>
      </w:r>
    </w:p>
    <w:p w14:paraId="433CC662" w14:textId="77777777" w:rsidR="00FD38F8" w:rsidRPr="00FD38F8" w:rsidRDefault="00FD38F8" w:rsidP="00FD38F8">
      <w:r w:rsidRPr="00FD38F8">
        <w:t xml:space="preserve">The most critical step in validating an Order Block algorithmically is confirming the subsequent market response. An Order Block remains inert until it is validated by institutional commitment, which is signaled by decisive, aggressive price movement known as "displacement". This displacement confirms that the underlying institutional volume commitment was significant enough to propel the market forward.   </w:t>
      </w:r>
    </w:p>
    <w:p w14:paraId="0D938169" w14:textId="77777777" w:rsidR="00FD38F8" w:rsidRPr="00FD38F8" w:rsidRDefault="00FD38F8" w:rsidP="00FD38F8">
      <w:r w:rsidRPr="00FD38F8">
        <w:t xml:space="preserve">The existence and magnitude of a Fair Value Gap (FVG) immediately following the OB provides the most reliable quantitative measure of this institutional validity. Price displacement, characterized by speed and magnitude, is the exact condition that creates a market inefficiency—the Fair Value Gap. Therefore, the presence of a substantial FVG acts as the direct, measurable signature resulting from a valid institutional Order Block. The ML project must therefore prioritize high-probability setups identified by retracements to these key institutional levels (OBs or FVGs) , mirroring the disciplined precision required in institutional risk management.   </w:t>
      </w:r>
    </w:p>
    <w:p w14:paraId="6ED84A85" w14:textId="77777777" w:rsidR="00FD38F8" w:rsidRPr="00FD38F8" w:rsidRDefault="00FD38F8" w:rsidP="00FD38F8">
      <w:pPr>
        <w:rPr>
          <w:b/>
          <w:bCs/>
        </w:rPr>
      </w:pPr>
      <w:r w:rsidRPr="00FD38F8">
        <w:rPr>
          <w:b/>
          <w:bCs/>
        </w:rPr>
        <w:t>II. Formalizing Market Structure as Temporal Features (BOS &amp; CHOCH)</w:t>
      </w:r>
    </w:p>
    <w:p w14:paraId="7AAFC50D" w14:textId="77777777" w:rsidR="00FD38F8" w:rsidRPr="00FD38F8" w:rsidRDefault="00FD38F8" w:rsidP="00FD38F8">
      <w:pPr>
        <w:rPr>
          <w:b/>
          <w:bCs/>
        </w:rPr>
      </w:pPr>
      <w:r w:rsidRPr="00FD38F8">
        <w:rPr>
          <w:b/>
          <w:bCs/>
        </w:rPr>
        <w:t>2.0 Defining Structure Shifts for Algorithmic Identification</w:t>
      </w:r>
    </w:p>
    <w:p w14:paraId="442783ED" w14:textId="77777777" w:rsidR="00FD38F8" w:rsidRPr="00FD38F8" w:rsidRDefault="00FD38F8" w:rsidP="00FD38F8">
      <w:r w:rsidRPr="00FD38F8">
        <w:t xml:space="preserve">Market structure provides the fundamental context for SMC trade initiation. In an uptrend, structure is defined by the creation of successively higher highs and higher lows; conversely, a </w:t>
      </w:r>
      <w:r w:rsidRPr="00FD38F8">
        <w:lastRenderedPageBreak/>
        <w:t xml:space="preserve">downtrend features lower lows and lower highs. Algorithmic systems must translate these structural dynamics into objective, quantifiable markers—the Break of Structure (BOS) and Change of Character (ChoCH).   </w:t>
      </w:r>
    </w:p>
    <w:p w14:paraId="3AFCECD8" w14:textId="77777777" w:rsidR="00FD38F8" w:rsidRPr="00FD38F8" w:rsidRDefault="00FD38F8" w:rsidP="00FD38F8">
      <w:pPr>
        <w:rPr>
          <w:b/>
          <w:bCs/>
        </w:rPr>
      </w:pPr>
      <w:r w:rsidRPr="00FD38F8">
        <w:rPr>
          <w:b/>
          <w:bCs/>
        </w:rPr>
        <w:t>2.1 Break of Structure (BOS): Trend Continuation Confirmation</w:t>
      </w:r>
    </w:p>
    <w:p w14:paraId="1416FAD4" w14:textId="77777777" w:rsidR="00FD38F8" w:rsidRPr="00FD38F8" w:rsidRDefault="00FD38F8" w:rsidP="00FD38F8">
      <w:r w:rsidRPr="00FD38F8">
        <w:t xml:space="preserve">A Break of Structure (BOS) confirms the ongoing commitment to the dominant trend. In an uptrend, a BOS occurs when price successfully breaks and closes above a previous swing high. Quantifying this event requires defining a critical confirmation threshold.   </w:t>
      </w:r>
    </w:p>
    <w:p w14:paraId="50A1611E" w14:textId="77777777" w:rsidR="00FD38F8" w:rsidRPr="00FD38F8" w:rsidRDefault="00FD38F8" w:rsidP="00FD38F8">
      <w:r w:rsidRPr="00FD38F8">
        <w:t xml:space="preserve">There are two primary definitions that must be captured as distinct features within the ML framework: the Wick Break and the Close Break. The simple </w:t>
      </w:r>
      <w:r w:rsidRPr="00FD38F8">
        <w:rPr>
          <w:b/>
          <w:bCs/>
        </w:rPr>
        <w:t>Wick Break</w:t>
      </w:r>
      <w:r w:rsidRPr="00FD38F8">
        <w:t xml:space="preserve"> occurs when the price simply pushes past the structural level. The </w:t>
      </w:r>
      <w:r w:rsidRPr="00FD38F8">
        <w:rPr>
          <w:b/>
          <w:bCs/>
        </w:rPr>
        <w:t>Close Break</w:t>
      </w:r>
      <w:r w:rsidRPr="00FD38F8">
        <w:t xml:space="preserve"> requires the candle </w:t>
      </w:r>
      <w:r w:rsidRPr="00FD38F8">
        <w:rPr>
          <w:i/>
          <w:iCs/>
        </w:rPr>
        <w:t>close</w:t>
      </w:r>
      <w:r w:rsidRPr="00FD38F8">
        <w:t xml:space="preserve"> to break the level, often defined by the parameter setting close_break=True in algorithmic libraries. For the ML feature set, distinct binary flags for both BOS_Wick_Confirm and BOS_Close_Confirm are mandated.   </w:t>
      </w:r>
    </w:p>
    <w:p w14:paraId="5A17AE63" w14:textId="77777777" w:rsidR="00FD38F8" w:rsidRPr="00FD38F8" w:rsidRDefault="00FD38F8" w:rsidP="00FD38F8">
      <w:r w:rsidRPr="00FD38F8">
        <w:t xml:space="preserve">The differentiation between these two types of breaks is not merely a technical detail; it is a critical regime sensitivity filter. Wick breaks are frequently symptomatic of liquidity sweeps or market noise, particularly in consolidation or low-volatility environments. However, a close break signals stronger, higher-conviction institutional commitment, which is more typical of high-momentum trends. By supplying both types of confirmations as features, the ML algorithm can learn to dynamically weight the structural strength based on the prevailing market regime, thereby enhancing prediction accuracy. Furthermore, the distance (normalized by Average True Range, or ATR) that the price travels past the broken structure level serves as a valuable momentum feature, indicating the conviction behind the continuation.   </w:t>
      </w:r>
    </w:p>
    <w:p w14:paraId="5989FAC8" w14:textId="77777777" w:rsidR="00FD38F8" w:rsidRPr="00FD38F8" w:rsidRDefault="00FD38F8" w:rsidP="00FD38F8">
      <w:pPr>
        <w:rPr>
          <w:b/>
          <w:bCs/>
        </w:rPr>
      </w:pPr>
      <w:r w:rsidRPr="00FD38F8">
        <w:rPr>
          <w:b/>
          <w:bCs/>
        </w:rPr>
        <w:t>2.2 Change of Character (ChoCH): Trend Reversal Signal</w:t>
      </w:r>
    </w:p>
    <w:p w14:paraId="1D66BD4D" w14:textId="77777777" w:rsidR="00FD38F8" w:rsidRPr="00FD38F8" w:rsidRDefault="00FD38F8" w:rsidP="00FD38F8">
      <w:r w:rsidRPr="00FD38F8">
        <w:t xml:space="preserve">A Change of Character (ChoCH) signals an initial shift in institutional bias and the potential for a trend reversal. This occurs when the previous swing high is broken in a downtrend, or the previous swing low is broken in an uptrend, indicating that the prevailing directional momentum has failed.   </w:t>
      </w:r>
    </w:p>
    <w:p w14:paraId="0978E301" w14:textId="77777777" w:rsidR="00FD38F8" w:rsidRPr="00FD38F8" w:rsidRDefault="00FD38F8" w:rsidP="00FD38F8">
      <w:r w:rsidRPr="00FD38F8">
        <w:t xml:space="preserve">For quantification, the ML model requires precise features tracking the ChoCH_Level and the BrokenIndex, which identifies the exact time and location of the break. It is essential to treat ChoCH signals with contextual caution, as initial breaks of structure often function solely as liquidity grabs before the trend continues. Therefore, a ChoCH signal achieves high-probability status only when strictly confirmed by the immediate formation of a high-quality Order Block and a corresponding FVG, which validates the underlying institutional shift rather than mere stop hunting.   </w:t>
      </w:r>
    </w:p>
    <w:p w14:paraId="7DA96165" w14:textId="77777777" w:rsidR="00FD38F8" w:rsidRPr="00FD38F8" w:rsidRDefault="00FD38F8" w:rsidP="00FD38F8">
      <w:pPr>
        <w:rPr>
          <w:b/>
          <w:bCs/>
        </w:rPr>
      </w:pPr>
      <w:r w:rsidRPr="00FD38F8">
        <w:rPr>
          <w:b/>
          <w:bCs/>
        </w:rPr>
        <w:t>III. The Order Block (OB): Feature Definition and Validity Testing</w:t>
      </w:r>
    </w:p>
    <w:p w14:paraId="660A5D32" w14:textId="77777777" w:rsidR="00FD38F8" w:rsidRPr="00FD38F8" w:rsidRDefault="00FD38F8" w:rsidP="00FD38F8">
      <w:pPr>
        <w:rPr>
          <w:b/>
          <w:bCs/>
        </w:rPr>
      </w:pPr>
      <w:r w:rsidRPr="00FD38F8">
        <w:rPr>
          <w:b/>
          <w:bCs/>
        </w:rPr>
        <w:t>3.0 Order Block Architecture: Precise Definition</w:t>
      </w:r>
    </w:p>
    <w:p w14:paraId="36A62A98" w14:textId="77777777" w:rsidR="00FD38F8" w:rsidRPr="00FD38F8" w:rsidRDefault="00FD38F8" w:rsidP="00FD38F8">
      <w:r w:rsidRPr="00FD38F8">
        <w:t xml:space="preserve">An Order Block is algorithmically defined by the last opposing candle (or cluster of candles) that precedes a decisive, impulsive price move. Specifically, a Bullish Order Block is the final </w:t>
      </w:r>
      <w:r w:rsidRPr="00FD38F8">
        <w:lastRenderedPageBreak/>
        <w:t xml:space="preserve">bearish candle before a sharp price increase, representing institutional accumulation. Conversely, a Bearish Order Block is the last bullish candle before a sharp price decline, representing institutional distribution.   </w:t>
      </w:r>
    </w:p>
    <w:p w14:paraId="1FBCE47C" w14:textId="77777777" w:rsidR="00FD38F8" w:rsidRPr="00FD38F8" w:rsidRDefault="00FD38F8" w:rsidP="00FD38F8">
      <w:r w:rsidRPr="00FD38F8">
        <w:t xml:space="preserve">Algorithmic identification requires adherence to strict criteria :   </w:t>
      </w:r>
    </w:p>
    <w:p w14:paraId="2C9625AA" w14:textId="77777777" w:rsidR="00FD38F8" w:rsidRPr="00FD38F8" w:rsidRDefault="00FD38F8" w:rsidP="00FD38F8">
      <w:pPr>
        <w:numPr>
          <w:ilvl w:val="0"/>
          <w:numId w:val="1"/>
        </w:numPr>
      </w:pPr>
      <w:r w:rsidRPr="00FD38F8">
        <w:rPr>
          <w:b/>
          <w:bCs/>
        </w:rPr>
        <w:t>Candle Color Change:</w:t>
      </w:r>
      <w:r w:rsidRPr="00FD38F8">
        <w:t xml:space="preserve"> The identified candle must mark a change in color from the preceding candle (e.g., from red to green for a bullish OB).</w:t>
      </w:r>
    </w:p>
    <w:p w14:paraId="172FC294" w14:textId="77777777" w:rsidR="00FD38F8" w:rsidRPr="00FD38F8" w:rsidRDefault="00FD38F8" w:rsidP="00FD38F8">
      <w:pPr>
        <w:numPr>
          <w:ilvl w:val="0"/>
          <w:numId w:val="1"/>
        </w:numPr>
      </w:pPr>
      <w:r w:rsidRPr="00FD38F8">
        <w:rPr>
          <w:b/>
          <w:bCs/>
        </w:rPr>
        <w:t>Consistent Direction Afterwards:</w:t>
      </w:r>
      <w:r w:rsidRPr="00FD38F8">
        <w:t xml:space="preserve"> The subsequent candles must maintain the new direction for a specified number of periods, confirming the new trend initiation.</w:t>
      </w:r>
    </w:p>
    <w:p w14:paraId="1E4856C0" w14:textId="77777777" w:rsidR="00FD38F8" w:rsidRPr="00FD38F8" w:rsidRDefault="00FD38F8" w:rsidP="00FD38F8">
      <w:pPr>
        <w:numPr>
          <w:ilvl w:val="0"/>
          <w:numId w:val="1"/>
        </w:numPr>
      </w:pPr>
      <w:r w:rsidRPr="00FD38F8">
        <w:rPr>
          <w:b/>
          <w:bCs/>
        </w:rPr>
        <w:t>Breakout Exceeds Threshold:</w:t>
      </w:r>
      <w:r w:rsidRPr="00FD38F8">
        <w:t xml:space="preserve"> The percentage price change from the OB's open to the final confirmation candle's close must exceed a defined momentum threshold.   </w:t>
      </w:r>
    </w:p>
    <w:p w14:paraId="5834B2F4" w14:textId="77777777" w:rsidR="00FD38F8" w:rsidRPr="00FD38F8" w:rsidRDefault="00FD38F8" w:rsidP="00FD38F8">
      <w:r w:rsidRPr="00FD38F8">
        <w:t xml:space="preserve">The ML feature set must capture the precise price levels—Open, Close, High, and Low—of the identified block candle to define the mitigation zone through the </w:t>
      </w:r>
      <w:r w:rsidRPr="00FD38F8">
        <w:rPr>
          <w:b/>
          <w:bCs/>
        </w:rPr>
        <w:t>OB_Boundaries</w:t>
      </w:r>
      <w:r w:rsidRPr="00FD38F8">
        <w:t xml:space="preserve"> feature.</w:t>
      </w:r>
    </w:p>
    <w:p w14:paraId="78C2251C" w14:textId="77777777" w:rsidR="00FD38F8" w:rsidRPr="00FD38F8" w:rsidRDefault="00FD38F8" w:rsidP="00FD38F8">
      <w:pPr>
        <w:rPr>
          <w:b/>
          <w:bCs/>
        </w:rPr>
      </w:pPr>
      <w:r w:rsidRPr="00FD38F8">
        <w:rPr>
          <w:b/>
          <w:bCs/>
        </w:rPr>
        <w:t>3.1 The Displacement Requirement: The Institutional Signature Feature</w:t>
      </w:r>
    </w:p>
    <w:p w14:paraId="4B16A7A5" w14:textId="77777777" w:rsidR="00FD38F8" w:rsidRPr="00FD38F8" w:rsidRDefault="00FD38F8" w:rsidP="00FD38F8">
      <w:r w:rsidRPr="00FD38F8">
        <w:t xml:space="preserve">A pivotal factor distinguishing a high-quality Order Block from a false one is the confirmation via "Displacement". Displacement is a quantitative filter that requires a fast, one-sided move following the OB that effectively breaks structure or clears liquidity. This rapid expansion of price objectively measures the "Clear preceding momentum" often referenced in subjective SMC analysis.   </w:t>
      </w:r>
    </w:p>
    <w:p w14:paraId="3F2A442D" w14:textId="77777777" w:rsidR="00FD38F8" w:rsidRPr="00FD38F8" w:rsidRDefault="00FD38F8" w:rsidP="00FD38F8">
      <w:r w:rsidRPr="00FD38F8">
        <w:t xml:space="preserve">For ML robustness, the magnitude of this displacement cannot be measured using raw price thresholds (e.g., 50 pips), as these values lose meaning across different assets or volatility regimes (non-stationarity). Instead, the displacement must be measured as a multiple of the Average True Range (ATR), which normalizes the movement relative to current market volatility.   </w:t>
      </w:r>
    </w:p>
    <w:p w14:paraId="53864704" w14:textId="77777777" w:rsidR="00FD38F8" w:rsidRPr="00FD38F8" w:rsidRDefault="00FD38F8" w:rsidP="00FD38F8">
      <w:r w:rsidRPr="00FD38F8">
        <w:t xml:space="preserve">The feature is calculated as: </w:t>
      </w:r>
    </w:p>
    <w:p w14:paraId="615F4808" w14:textId="77777777" w:rsidR="00FD38F8" w:rsidRPr="00FD38F8" w:rsidRDefault="00FD38F8" w:rsidP="00FD38F8">
      <w:r w:rsidRPr="00FD38F8">
        <w:t xml:space="preserve">The required threshold (e.g., ATR or ATR) becomes an optimization parameter during backtesting. By quantifying momentum using volatility-adjusted metrics, the ML model gains an objective measure of institutional force, allowing it to correctly weight the quality of the Order Block across diverse market conditions.   </w:t>
      </w:r>
    </w:p>
    <w:p w14:paraId="1F5B441C" w14:textId="77777777" w:rsidR="00FD38F8" w:rsidRPr="00FD38F8" w:rsidRDefault="00FD38F8" w:rsidP="00FD38F8">
      <w:pPr>
        <w:rPr>
          <w:b/>
          <w:bCs/>
        </w:rPr>
      </w:pPr>
      <w:r w:rsidRPr="00FD38F8">
        <w:rPr>
          <w:b/>
          <w:bCs/>
        </w:rPr>
        <w:t>3.2 Criteria for OB Validity and Selection</w:t>
      </w:r>
    </w:p>
    <w:p w14:paraId="0B509A8D" w14:textId="77777777" w:rsidR="00FD38F8" w:rsidRPr="00FD38F8" w:rsidRDefault="00FD38F8" w:rsidP="00FD38F8">
      <w:r w:rsidRPr="00FD38F8">
        <w:t xml:space="preserve">Not all identified order blocks possess equal reliability. The ML feature set must include binary or scalar flags corresponding to objective validity filters:   </w:t>
      </w:r>
    </w:p>
    <w:p w14:paraId="2E45C56D" w14:textId="77777777" w:rsidR="00FD38F8" w:rsidRPr="00FD38F8" w:rsidRDefault="00FD38F8" w:rsidP="00FD38F8">
      <w:pPr>
        <w:numPr>
          <w:ilvl w:val="0"/>
          <w:numId w:val="2"/>
        </w:numPr>
      </w:pPr>
      <w:r w:rsidRPr="00FD38F8">
        <w:rPr>
          <w:b/>
          <w:bCs/>
        </w:rPr>
        <w:t>Contextual Logic:</w:t>
      </w:r>
      <w:r w:rsidRPr="00FD38F8">
        <w:t xml:space="preserve"> The Order Block must align logically within the broader market structure. For instance, a bullish OB is most reliable if it forms in a known demand zone, especially following a Change of Character (ChoCH) or preceding a Break of Structure (BOS).   </w:t>
      </w:r>
    </w:p>
    <w:p w14:paraId="45B3B4E6" w14:textId="77777777" w:rsidR="00FD38F8" w:rsidRPr="00FD38F8" w:rsidRDefault="00FD38F8" w:rsidP="00FD38F8">
      <w:pPr>
        <w:numPr>
          <w:ilvl w:val="0"/>
          <w:numId w:val="2"/>
        </w:numPr>
      </w:pPr>
      <w:r w:rsidRPr="00FD38F8">
        <w:rPr>
          <w:b/>
          <w:bCs/>
        </w:rPr>
        <w:lastRenderedPageBreak/>
        <w:t>Clean Price Action:</w:t>
      </w:r>
      <w:r w:rsidRPr="00FD38F8">
        <w:t xml:space="preserve"> Blocks formed during noisy, high-wick price action are typically weaker and should be filtered or down-weighted, suggesting weaker institutional presence.   </w:t>
      </w:r>
    </w:p>
    <w:p w14:paraId="1A2FAE47" w14:textId="77777777" w:rsidR="00FD38F8" w:rsidRPr="00FD38F8" w:rsidRDefault="00FD38F8" w:rsidP="00FD38F8">
      <w:pPr>
        <w:numPr>
          <w:ilvl w:val="0"/>
          <w:numId w:val="2"/>
        </w:numPr>
      </w:pPr>
      <w:r w:rsidRPr="00FD38F8">
        <w:rPr>
          <w:b/>
          <w:bCs/>
        </w:rPr>
        <w:t>Multi-Timeframe Confluence:</w:t>
      </w:r>
      <w:r w:rsidRPr="00FD38F8">
        <w:t xml:space="preserve"> Institutional trading inherently involves layered timeframes. A valid OB should demonstrate relevance or visibility across multiple linked timeframes, confirming institutional awareness.   </w:t>
      </w:r>
    </w:p>
    <w:p w14:paraId="323DA1A6" w14:textId="77777777" w:rsidR="00FD38F8" w:rsidRPr="00FD38F8" w:rsidRDefault="00FD38F8" w:rsidP="00FD38F8">
      <w:r w:rsidRPr="00FD38F8">
        <w:t xml:space="preserve">Finally, the ML model must manage the lifecycle of an Order Block. Once the price revisits the block and trades through its defining level—known as mitigation—the block is removed from the active feature set. Features must track the </w:t>
      </w:r>
      <w:r w:rsidRPr="00FD38F8">
        <w:rPr>
          <w:b/>
          <w:bCs/>
        </w:rPr>
        <w:t>Age</w:t>
      </w:r>
      <w:r w:rsidRPr="00FD38F8">
        <w:t xml:space="preserve"> (time since formation) and, if statistical depth is available, the </w:t>
      </w:r>
      <w:r w:rsidRPr="00FD38F8">
        <w:rPr>
          <w:b/>
          <w:bCs/>
        </w:rPr>
        <w:t>Survival %</w:t>
      </w:r>
      <w:r w:rsidRPr="00FD38F8">
        <w:t xml:space="preserve"> (historical non-mitigation probability) as predictive inputs.   </w:t>
      </w:r>
    </w:p>
    <w:p w14:paraId="016F3E91" w14:textId="77777777" w:rsidR="00FD38F8" w:rsidRPr="00FD38F8" w:rsidRDefault="00FD38F8" w:rsidP="00FD38F8">
      <w:pPr>
        <w:rPr>
          <w:b/>
          <w:bCs/>
        </w:rPr>
      </w:pPr>
      <w:r w:rsidRPr="00FD38F8">
        <w:rPr>
          <w:b/>
          <w:bCs/>
        </w:rPr>
        <w:t>IV. Fair Value Gaps (FVG): Measuring Market Imbalance and Efficiency</w:t>
      </w:r>
    </w:p>
    <w:p w14:paraId="23BFEB50" w14:textId="77777777" w:rsidR="00FD38F8" w:rsidRPr="00FD38F8" w:rsidRDefault="00FD38F8" w:rsidP="00FD38F8">
      <w:pPr>
        <w:rPr>
          <w:b/>
          <w:bCs/>
        </w:rPr>
      </w:pPr>
      <w:r w:rsidRPr="00FD38F8">
        <w:rPr>
          <w:b/>
          <w:bCs/>
        </w:rPr>
        <w:t>4.0 FVG Structure and Purpose</w:t>
      </w:r>
    </w:p>
    <w:p w14:paraId="14B31D1B" w14:textId="77777777" w:rsidR="00FD38F8" w:rsidRPr="00FD38F8" w:rsidRDefault="00FD38F8" w:rsidP="00FD38F8">
      <w:r w:rsidRPr="00FD38F8">
        <w:t xml:space="preserve">A Fair Value Gap (FVG) is the measurable consequence of rapid price displacement, identifying a significant price imbalance where minimal to no volume was transacted. These gaps represent market inefficiencies created by high volatility and rapid movements between buyers and sellers. Institutions often target these gaps for retracements, seeking to "fill" the void and restore market efficiency.   </w:t>
      </w:r>
    </w:p>
    <w:p w14:paraId="367046E6" w14:textId="77777777" w:rsidR="00FD38F8" w:rsidRPr="00FD38F8" w:rsidRDefault="00FD38F8" w:rsidP="00FD38F8">
      <w:pPr>
        <w:rPr>
          <w:b/>
          <w:bCs/>
        </w:rPr>
      </w:pPr>
      <w:r w:rsidRPr="00FD38F8">
        <w:rPr>
          <w:b/>
          <w:bCs/>
        </w:rPr>
        <w:t>4.1 Algorithmic Identification of FVG</w:t>
      </w:r>
    </w:p>
    <w:p w14:paraId="0C5CBC96" w14:textId="77777777" w:rsidR="00FD38F8" w:rsidRPr="00FD38F8" w:rsidRDefault="00FD38F8" w:rsidP="00FD38F8">
      <w:r w:rsidRPr="00FD38F8">
        <w:t>FVGs are identified based on a three-candle formation (C1, C2, C3), where C2 is the large impulse candle:</w:t>
      </w:r>
    </w:p>
    <w:p w14:paraId="5CBB8C2D" w14:textId="77777777" w:rsidR="00FD38F8" w:rsidRPr="00FD38F8" w:rsidRDefault="00FD38F8" w:rsidP="00FD38F8">
      <w:pPr>
        <w:numPr>
          <w:ilvl w:val="0"/>
          <w:numId w:val="3"/>
        </w:numPr>
      </w:pPr>
      <w:r w:rsidRPr="00FD38F8">
        <w:rPr>
          <w:b/>
          <w:bCs/>
        </w:rPr>
        <w:t>Bullish FVG (Buy-Side Imbalance):</w:t>
      </w:r>
      <w:r w:rsidRPr="00FD38F8">
        <w:t xml:space="preserve"> The price range between the High of C1 and the Low of C3 creates the gap around C2.</w:t>
      </w:r>
    </w:p>
    <w:p w14:paraId="21FD7157" w14:textId="77777777" w:rsidR="00FD38F8" w:rsidRPr="00FD38F8" w:rsidRDefault="00FD38F8" w:rsidP="00FD38F8">
      <w:pPr>
        <w:numPr>
          <w:ilvl w:val="0"/>
          <w:numId w:val="3"/>
        </w:numPr>
      </w:pPr>
      <w:r w:rsidRPr="00FD38F8">
        <w:rPr>
          <w:b/>
          <w:bCs/>
        </w:rPr>
        <w:t>Bearish FVG (Sell-Side Imbalance):</w:t>
      </w:r>
      <w:r w:rsidRPr="00FD38F8">
        <w:t xml:space="preserve"> The price range between the Low of C1 and the High of C3 creates the gap around C2.   </w:t>
      </w:r>
    </w:p>
    <w:p w14:paraId="12F1EC07" w14:textId="77777777" w:rsidR="00FD38F8" w:rsidRPr="00FD38F8" w:rsidRDefault="00FD38F8" w:rsidP="00FD38F8">
      <w:r w:rsidRPr="00FD38F8">
        <w:t xml:space="preserve">The ML feature set must precisely record the </w:t>
      </w:r>
      <w:r w:rsidRPr="00FD38F8">
        <w:rPr>
          <w:b/>
          <w:bCs/>
        </w:rPr>
        <w:t>FVG_Boundaries (Top/Bottom)</w:t>
      </w:r>
      <w:r w:rsidRPr="00FD38F8">
        <w:t xml:space="preserve"> for defining entry points and structural stop-loss placement.   </w:t>
      </w:r>
    </w:p>
    <w:p w14:paraId="65F87EB7" w14:textId="77777777" w:rsidR="00FD38F8" w:rsidRPr="00FD38F8" w:rsidRDefault="00FD38F8" w:rsidP="00FD38F8">
      <w:pPr>
        <w:rPr>
          <w:b/>
          <w:bCs/>
        </w:rPr>
      </w:pPr>
      <w:r w:rsidRPr="00FD38F8">
        <w:rPr>
          <w:b/>
          <w:bCs/>
        </w:rPr>
        <w:t>4.2 Handling Consecutive Imbalances and Mitigation Status</w:t>
      </w:r>
    </w:p>
    <w:p w14:paraId="092218D6" w14:textId="77777777" w:rsidR="00FD38F8" w:rsidRPr="00FD38F8" w:rsidRDefault="00FD38F8" w:rsidP="00FD38F8">
      <w:r w:rsidRPr="00FD38F8">
        <w:t xml:space="preserve">Feature engineering dictates specific handling for complex FVG scenarios. When multiple FVGs occur consecutively, the system should treat them as a single, consolidated imbalance. These consecutive gaps are merged into one feature using the highest top and the lowest bottom of the cluster. This necessary step reduces feature redundancy and provides a cleaner target zone for mitigation.   </w:t>
      </w:r>
    </w:p>
    <w:p w14:paraId="7C1F81DC" w14:textId="77777777" w:rsidR="00FD38F8" w:rsidRPr="00FD38F8" w:rsidRDefault="00FD38F8" w:rsidP="00FD38F8">
      <w:r w:rsidRPr="00FD38F8">
        <w:t xml:space="preserve">Furthermore, the model must track the mitigation status. A feature, </w:t>
      </w:r>
      <w:r w:rsidRPr="00FD38F8">
        <w:rPr>
          <w:b/>
          <w:bCs/>
        </w:rPr>
        <w:t>MitigatedIndex</w:t>
      </w:r>
      <w:r w:rsidRPr="00FD38F8">
        <w:t xml:space="preserve">, records the candle index where the price revisits and fills the gap. Only </w:t>
      </w:r>
      <w:r w:rsidRPr="00FD38F8">
        <w:rPr>
          <w:i/>
          <w:iCs/>
        </w:rPr>
        <w:t>unmitigated</w:t>
      </w:r>
      <w:r w:rsidRPr="00FD38F8">
        <w:t xml:space="preserve"> (unfilled) FVGs are considered valid, active targets for trade initiation, as the market imbalance still exists.   </w:t>
      </w:r>
    </w:p>
    <w:p w14:paraId="5FC5D6FF" w14:textId="77777777" w:rsidR="00FD38F8" w:rsidRPr="00FD38F8" w:rsidRDefault="00FD38F8" w:rsidP="00FD38F8">
      <w:pPr>
        <w:rPr>
          <w:b/>
          <w:bCs/>
        </w:rPr>
      </w:pPr>
      <w:r w:rsidRPr="00FD38F8">
        <w:rPr>
          <w:b/>
          <w:bCs/>
        </w:rPr>
        <w:t>4.3 FVG Quantification for Feature Input</w:t>
      </w:r>
    </w:p>
    <w:p w14:paraId="43D5DB10" w14:textId="77777777" w:rsidR="00FD38F8" w:rsidRPr="00FD38F8" w:rsidRDefault="00FD38F8" w:rsidP="00FD38F8">
      <w:r w:rsidRPr="00FD38F8">
        <w:lastRenderedPageBreak/>
        <w:t>To ensure the significance of a gap is measured relative to market conditions, FVG dimensions must be normalized.</w:t>
      </w:r>
    </w:p>
    <w:p w14:paraId="7E41DA43" w14:textId="77777777" w:rsidR="00FD38F8" w:rsidRPr="00FD38F8" w:rsidRDefault="00FD38F8" w:rsidP="00FD38F8">
      <w:pPr>
        <w:numPr>
          <w:ilvl w:val="0"/>
          <w:numId w:val="4"/>
        </w:numPr>
      </w:pPr>
      <w:r w:rsidRPr="00FD38F8">
        <w:rPr>
          <w:b/>
          <w:bCs/>
        </w:rPr>
        <w:t>FVG_Depth_ATR:</w:t>
      </w:r>
      <w:r w:rsidRPr="00FD38F8">
        <w:t xml:space="preserve"> The absolute height of the FVG (Top - Bottom) must be normalized by the N-period ATR. This converts the FVG size into a volatility-adjusted measurement, serving as a robust proxy for the magnitude of the institutional velocity that created the gap.   </w:t>
      </w:r>
    </w:p>
    <w:p w14:paraId="3F5F3A4B" w14:textId="77777777" w:rsidR="00FD38F8" w:rsidRPr="00FD38F8" w:rsidRDefault="00FD38F8" w:rsidP="00FD38F8">
      <w:pPr>
        <w:numPr>
          <w:ilvl w:val="0"/>
          <w:numId w:val="4"/>
        </w:numPr>
      </w:pPr>
      <w:r w:rsidRPr="00FD38F8">
        <w:rPr>
          <w:b/>
          <w:bCs/>
        </w:rPr>
        <w:t>FVG_Distance_to_Price_ATR:</w:t>
      </w:r>
      <w:r w:rsidRPr="00FD38F8">
        <w:t xml:space="preserve"> The distance from the current price to the FVG boundary (the anticipated entry level) must also be normalized by ATR. This metric informs the ML model of the setup's proximity and risk profile.</w:t>
      </w:r>
    </w:p>
    <w:p w14:paraId="434C361F" w14:textId="77777777" w:rsidR="00FD38F8" w:rsidRPr="00FD38F8" w:rsidRDefault="00FD38F8" w:rsidP="00FD38F8">
      <w:r w:rsidRPr="00FD38F8">
        <w:t xml:space="preserve">The rigid, objective boundaries provided by FVGs simplify risk assessment for the ML backbone. Unlike subjective support and resistance lines, the FVG boundary offers a structurally clear price level for placing the stop loss. This transformation from subjective judgment to structural, objective boundaries is essential for building a deterministic and traceable ML system.   </w:t>
      </w:r>
    </w:p>
    <w:p w14:paraId="5DC52C29" w14:textId="77777777" w:rsidR="00FD38F8" w:rsidRPr="00FD38F8" w:rsidRDefault="00FD38F8" w:rsidP="00FD38F8">
      <w:pPr>
        <w:rPr>
          <w:b/>
          <w:bCs/>
        </w:rPr>
      </w:pPr>
      <w:r w:rsidRPr="00FD38F8">
        <w:rPr>
          <w:b/>
          <w:bCs/>
        </w:rPr>
        <w:t>V. Feature Engineering: Normalization and Standardization for ML</w:t>
      </w:r>
    </w:p>
    <w:p w14:paraId="703C061F" w14:textId="77777777" w:rsidR="00FD38F8" w:rsidRPr="00FD38F8" w:rsidRDefault="00FD38F8" w:rsidP="00FD38F8">
      <w:pPr>
        <w:rPr>
          <w:b/>
          <w:bCs/>
        </w:rPr>
      </w:pPr>
      <w:r w:rsidRPr="00FD38F8">
        <w:rPr>
          <w:b/>
          <w:bCs/>
        </w:rPr>
        <w:t>5.0 Addressing Non-Stationarity: The Necessity of Normalization</w:t>
      </w:r>
    </w:p>
    <w:p w14:paraId="49C3BC50" w14:textId="77777777" w:rsidR="00FD38F8" w:rsidRPr="00FD38F8" w:rsidRDefault="00FD38F8" w:rsidP="00FD38F8">
      <w:r w:rsidRPr="00FD38F8">
        <w:t xml:space="preserve">The primary failure point for ML models trained on financial time series data is non-stationarity, where the statistical properties of the data change over time. Raw price differences (dollar or pip values) become unreliable features because the significance of a 50-pip movement changes dramatically between a high-volatility, high-priced asset and a low-volatility, low-priced asset. To build a robust ML backbone that generalizes across instruments and market regimes, all features related to size, distance, and momentum derived from OBs and FVGs must be normalized using volatility measures (ATR) and subsequently standardized (Z-score).   </w:t>
      </w:r>
    </w:p>
    <w:p w14:paraId="751C1603" w14:textId="77777777" w:rsidR="00FD38F8" w:rsidRPr="00FD38F8" w:rsidRDefault="00FD38F8" w:rsidP="00FD38F8">
      <w:pPr>
        <w:rPr>
          <w:b/>
          <w:bCs/>
        </w:rPr>
      </w:pPr>
      <w:r w:rsidRPr="00FD38F8">
        <w:rPr>
          <w:b/>
          <w:bCs/>
        </w:rPr>
        <w:t>5.1 Volatility Normalization using ATR</w:t>
      </w:r>
    </w:p>
    <w:p w14:paraId="51855FD5" w14:textId="77777777" w:rsidR="00FD38F8" w:rsidRPr="00FD38F8" w:rsidRDefault="00FD38F8" w:rsidP="00FD38F8">
      <w:r w:rsidRPr="00FD38F8">
        <w:t xml:space="preserve">The core principle involves expressing all geometric features in units of ATR. The Average True Range (ATR) serves as a dynamic measure of current volatility.   </w:t>
      </w:r>
    </w:p>
    <w:p w14:paraId="04BA5A34" w14:textId="77777777" w:rsidR="00FD38F8" w:rsidRPr="00FD38F8" w:rsidRDefault="00FD38F8" w:rsidP="00FD38F8">
      <w:r w:rsidRPr="00FD38F8">
        <w:t xml:space="preserve">A refined calculation method, the "Average Normalized True Range," is utilized, where the True Range is first normalized (expressed as a percentage of the closing price, if required by the asset structure) before averaging. This process ensures that the features represent relative volatility rather than absolute price magnitude, which is crucial for cross-market feature comparison. For example, a displacement feature of ATR signifies the same relative force regardless of whether the underlying asset is low-priced Forex or high-priced Crypto.   </w:t>
      </w:r>
    </w:p>
    <w:p w14:paraId="7C233EF9" w14:textId="77777777" w:rsidR="00FD38F8" w:rsidRPr="00FD38F8" w:rsidRDefault="00FD38F8" w:rsidP="00FD38F8">
      <w:pPr>
        <w:rPr>
          <w:b/>
          <w:bCs/>
        </w:rPr>
      </w:pPr>
      <w:r w:rsidRPr="00FD38F8">
        <w:rPr>
          <w:b/>
          <w:bCs/>
        </w:rPr>
        <w:t>5.2 Statistical Standardization (Z-Score)</w:t>
      </w:r>
    </w:p>
    <w:p w14:paraId="6F33DE99" w14:textId="77777777" w:rsidR="00FD38F8" w:rsidRPr="00FD38F8" w:rsidRDefault="00FD38F8" w:rsidP="00FD38F8">
      <w:r w:rsidRPr="00FD38F8">
        <w:t xml:space="preserve">Following ATR normalization, key features, such as the Displacement_Mag_ATR, must undergo Z-score standardization. This procedure scales the data so that it conforms to a standard normal distribution.   </w:t>
      </w:r>
    </w:p>
    <w:p w14:paraId="33EF956F" w14:textId="77777777" w:rsidR="00FD38F8" w:rsidRPr="00FD38F8" w:rsidRDefault="00FD38F8" w:rsidP="00FD38F8">
      <w:r w:rsidRPr="00FD38F8">
        <w:t xml:space="preserve">The Z-score normalization formula applied to an ATR-normalized value is: </w:t>
      </w:r>
    </w:p>
    <w:p w14:paraId="094494ED" w14:textId="77777777" w:rsidR="00FD38F8" w:rsidRPr="00FD38F8" w:rsidRDefault="00FD38F8" w:rsidP="00FD38F8">
      <w:r w:rsidRPr="00FD38F8">
        <w:lastRenderedPageBreak/>
        <w:t xml:space="preserve">where is the Z-score, is the mean of the feature over a defined rolling window, and is the standard deviation.   </w:t>
      </w:r>
    </w:p>
    <w:p w14:paraId="2711F428" w14:textId="77777777" w:rsidR="00FD38F8" w:rsidRPr="00FD38F8" w:rsidRDefault="00FD38F8" w:rsidP="00FD38F8">
      <w:r w:rsidRPr="00FD38F8">
        <w:t>Standardization ensures that all feature inputs share a mean of 0 and a standard deviation of 1. This prevents features with naturally larger absolute ranges (e.g., FVG depth) from exerting undue influence or dominance over the ML model during the training process.</w:t>
      </w:r>
    </w:p>
    <w:p w14:paraId="76D074E0" w14:textId="77777777" w:rsidR="00FD38F8" w:rsidRPr="00FD38F8" w:rsidRDefault="00FD38F8" w:rsidP="00FD38F8">
      <w:pPr>
        <w:rPr>
          <w:b/>
          <w:bCs/>
        </w:rPr>
      </w:pPr>
      <w:r w:rsidRPr="00FD38F8">
        <w:rPr>
          <w:b/>
          <w:bCs/>
        </w:rPr>
        <w:t>5.3 Creation of Multi-Dimensional Feature Vectors</w:t>
      </w:r>
    </w:p>
    <w:p w14:paraId="3620A71E" w14:textId="77777777" w:rsidR="00FD38F8" w:rsidRPr="00FD38F8" w:rsidRDefault="00FD38F8" w:rsidP="00FD38F8">
      <w:r w:rsidRPr="00FD38F8">
        <w:t>The synthesis of these steps results in a multi-dimensional feature vector, combining structural, imbalance, and momentum metrics, all transformed to be non-stationary robust.</w:t>
      </w:r>
    </w:p>
    <w:p w14:paraId="1DB7F98D" w14:textId="77777777" w:rsidR="00FD38F8" w:rsidRPr="00FD38F8" w:rsidRDefault="00FD38F8" w:rsidP="00FD38F8">
      <w:r w:rsidRPr="00FD38F8">
        <w:t>Table 1: Quantified Feature Engineering Specification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2"/>
        <w:gridCol w:w="2753"/>
        <w:gridCol w:w="1951"/>
        <w:gridCol w:w="1620"/>
        <w:gridCol w:w="1484"/>
      </w:tblGrid>
      <w:tr w:rsidR="00FD38F8" w:rsidRPr="00FD38F8" w14:paraId="3FFFE0D9" w14:textId="77777777">
        <w:trPr>
          <w:tblHeader/>
          <w:tblCellSpacing w:w="15" w:type="dxa"/>
        </w:trPr>
        <w:tc>
          <w:tcPr>
            <w:tcW w:w="0" w:type="auto"/>
            <w:vAlign w:val="center"/>
            <w:hideMark/>
          </w:tcPr>
          <w:p w14:paraId="35ED4CEC" w14:textId="77777777" w:rsidR="00FD38F8" w:rsidRPr="00FD38F8" w:rsidRDefault="00FD38F8" w:rsidP="00FD38F8">
            <w:r w:rsidRPr="00FD38F8">
              <w:rPr>
                <w:b/>
                <w:bCs/>
              </w:rPr>
              <w:t>SMC Concept</w:t>
            </w:r>
          </w:p>
        </w:tc>
        <w:tc>
          <w:tcPr>
            <w:tcW w:w="0" w:type="auto"/>
            <w:vAlign w:val="center"/>
            <w:hideMark/>
          </w:tcPr>
          <w:p w14:paraId="6BACC423" w14:textId="77777777" w:rsidR="00FD38F8" w:rsidRPr="00FD38F8" w:rsidRDefault="00FD38F8" w:rsidP="00FD38F8">
            <w:r w:rsidRPr="00FD38F8">
              <w:rPr>
                <w:b/>
                <w:bCs/>
              </w:rPr>
              <w:t>Feature Name (ML Input)</w:t>
            </w:r>
          </w:p>
        </w:tc>
        <w:tc>
          <w:tcPr>
            <w:tcW w:w="0" w:type="auto"/>
            <w:vAlign w:val="center"/>
            <w:hideMark/>
          </w:tcPr>
          <w:p w14:paraId="5DED5AB7" w14:textId="77777777" w:rsidR="00FD38F8" w:rsidRPr="00FD38F8" w:rsidRDefault="00FD38F8" w:rsidP="00FD38F8">
            <w:r w:rsidRPr="00FD38F8">
              <w:rPr>
                <w:b/>
                <w:bCs/>
              </w:rPr>
              <w:t>Measurement Basis</w:t>
            </w:r>
          </w:p>
        </w:tc>
        <w:tc>
          <w:tcPr>
            <w:tcW w:w="0" w:type="auto"/>
            <w:vAlign w:val="center"/>
            <w:hideMark/>
          </w:tcPr>
          <w:p w14:paraId="75BDFCD0" w14:textId="77777777" w:rsidR="00FD38F8" w:rsidRPr="00FD38F8" w:rsidRDefault="00FD38F8" w:rsidP="00FD38F8">
            <w:r w:rsidRPr="00FD38F8">
              <w:rPr>
                <w:b/>
                <w:bCs/>
              </w:rPr>
              <w:t>Normalization Method</w:t>
            </w:r>
          </w:p>
        </w:tc>
        <w:tc>
          <w:tcPr>
            <w:tcW w:w="0" w:type="auto"/>
            <w:vAlign w:val="center"/>
            <w:hideMark/>
          </w:tcPr>
          <w:p w14:paraId="1498ABB4" w14:textId="77777777" w:rsidR="00FD38F8" w:rsidRPr="00FD38F8" w:rsidRDefault="00FD38F8" w:rsidP="00FD38F8">
            <w:r w:rsidRPr="00FD38F8">
              <w:t>Rationale</w:t>
            </w:r>
          </w:p>
        </w:tc>
      </w:tr>
      <w:tr w:rsidR="00FD38F8" w:rsidRPr="00FD38F8" w14:paraId="327D5C0C" w14:textId="77777777">
        <w:trPr>
          <w:tblCellSpacing w:w="15" w:type="dxa"/>
        </w:trPr>
        <w:tc>
          <w:tcPr>
            <w:tcW w:w="0" w:type="auto"/>
            <w:vAlign w:val="center"/>
            <w:hideMark/>
          </w:tcPr>
          <w:p w14:paraId="5661B11C" w14:textId="77777777" w:rsidR="00FD38F8" w:rsidRPr="00FD38F8" w:rsidRDefault="00FD38F8" w:rsidP="00FD38F8">
            <w:r w:rsidRPr="00FD38F8">
              <w:t>Order Block (OB)</w:t>
            </w:r>
          </w:p>
        </w:tc>
        <w:tc>
          <w:tcPr>
            <w:tcW w:w="0" w:type="auto"/>
            <w:vAlign w:val="center"/>
            <w:hideMark/>
          </w:tcPr>
          <w:p w14:paraId="7CD45590" w14:textId="77777777" w:rsidR="00FD38F8" w:rsidRPr="00FD38F8" w:rsidRDefault="00FD38F8" w:rsidP="00FD38F8">
            <w:r w:rsidRPr="00FD38F8">
              <w:t>OB_Size_ATR</w:t>
            </w:r>
          </w:p>
        </w:tc>
        <w:tc>
          <w:tcPr>
            <w:tcW w:w="0" w:type="auto"/>
            <w:vAlign w:val="center"/>
            <w:hideMark/>
          </w:tcPr>
          <w:p w14:paraId="78E35FB5" w14:textId="77777777" w:rsidR="00FD38F8" w:rsidRPr="00FD38F8" w:rsidRDefault="00FD38F8" w:rsidP="00FD38F8">
            <w:r w:rsidRPr="00FD38F8">
              <w:t>Height (High - Low) of the OB candle</w:t>
            </w:r>
          </w:p>
        </w:tc>
        <w:tc>
          <w:tcPr>
            <w:tcW w:w="0" w:type="auto"/>
            <w:vAlign w:val="center"/>
            <w:hideMark/>
          </w:tcPr>
          <w:p w14:paraId="45DBA042" w14:textId="77777777" w:rsidR="00FD38F8" w:rsidRPr="00FD38F8" w:rsidRDefault="00FD38F8" w:rsidP="00FD38F8">
            <w:r w:rsidRPr="00FD38F8">
              <w:t xml:space="preserve">Divided by N-period ATR </w:t>
            </w:r>
          </w:p>
        </w:tc>
        <w:tc>
          <w:tcPr>
            <w:tcW w:w="0" w:type="auto"/>
            <w:vAlign w:val="center"/>
            <w:hideMark/>
          </w:tcPr>
          <w:p w14:paraId="159FE769" w14:textId="77777777" w:rsidR="00FD38F8" w:rsidRPr="00FD38F8" w:rsidRDefault="00FD38F8" w:rsidP="00FD38F8">
            <w:r w:rsidRPr="00FD38F8">
              <w:t>Volatility-adjusted block size detection.</w:t>
            </w:r>
          </w:p>
        </w:tc>
      </w:tr>
      <w:tr w:rsidR="00FD38F8" w:rsidRPr="00FD38F8" w14:paraId="4D1DBE99" w14:textId="77777777">
        <w:trPr>
          <w:tblCellSpacing w:w="15" w:type="dxa"/>
        </w:trPr>
        <w:tc>
          <w:tcPr>
            <w:tcW w:w="0" w:type="auto"/>
            <w:vAlign w:val="center"/>
            <w:hideMark/>
          </w:tcPr>
          <w:p w14:paraId="0E40F4FB" w14:textId="77777777" w:rsidR="00FD38F8" w:rsidRPr="00FD38F8" w:rsidRDefault="00FD38F8" w:rsidP="00FD38F8">
            <w:r w:rsidRPr="00FD38F8">
              <w:t>FVG</w:t>
            </w:r>
          </w:p>
        </w:tc>
        <w:tc>
          <w:tcPr>
            <w:tcW w:w="0" w:type="auto"/>
            <w:vAlign w:val="center"/>
            <w:hideMark/>
          </w:tcPr>
          <w:p w14:paraId="6D02F2A2" w14:textId="77777777" w:rsidR="00FD38F8" w:rsidRPr="00FD38F8" w:rsidRDefault="00FD38F8" w:rsidP="00FD38F8">
            <w:r w:rsidRPr="00FD38F8">
              <w:t>FVG_Depth_ATR</w:t>
            </w:r>
          </w:p>
        </w:tc>
        <w:tc>
          <w:tcPr>
            <w:tcW w:w="0" w:type="auto"/>
            <w:vAlign w:val="center"/>
            <w:hideMark/>
          </w:tcPr>
          <w:p w14:paraId="25232C8F" w14:textId="77777777" w:rsidR="00FD38F8" w:rsidRPr="00FD38F8" w:rsidRDefault="00FD38F8" w:rsidP="00FD38F8">
            <w:r w:rsidRPr="00FD38F8">
              <w:t xml:space="preserve">Price difference defining the gap (Top - Bottom) </w:t>
            </w:r>
          </w:p>
        </w:tc>
        <w:tc>
          <w:tcPr>
            <w:tcW w:w="0" w:type="auto"/>
            <w:vAlign w:val="center"/>
            <w:hideMark/>
          </w:tcPr>
          <w:p w14:paraId="51713F97" w14:textId="77777777" w:rsidR="00FD38F8" w:rsidRPr="00FD38F8" w:rsidRDefault="00FD38F8" w:rsidP="00FD38F8">
            <w:r w:rsidRPr="00FD38F8">
              <w:t xml:space="preserve">Divided by N-period ATR </w:t>
            </w:r>
          </w:p>
        </w:tc>
        <w:tc>
          <w:tcPr>
            <w:tcW w:w="0" w:type="auto"/>
            <w:vAlign w:val="center"/>
            <w:hideMark/>
          </w:tcPr>
          <w:p w14:paraId="00A1754D" w14:textId="77777777" w:rsidR="00FD38F8" w:rsidRPr="00FD38F8" w:rsidRDefault="00FD38F8" w:rsidP="00FD38F8">
            <w:r w:rsidRPr="00FD38F8">
              <w:t>Proxy for institutional velocity and imbalance magnitude.</w:t>
            </w:r>
          </w:p>
        </w:tc>
      </w:tr>
      <w:tr w:rsidR="00FD38F8" w:rsidRPr="00FD38F8" w14:paraId="608708FB" w14:textId="77777777">
        <w:trPr>
          <w:tblCellSpacing w:w="15" w:type="dxa"/>
        </w:trPr>
        <w:tc>
          <w:tcPr>
            <w:tcW w:w="0" w:type="auto"/>
            <w:vAlign w:val="center"/>
            <w:hideMark/>
          </w:tcPr>
          <w:p w14:paraId="0925D332" w14:textId="77777777" w:rsidR="00FD38F8" w:rsidRPr="00FD38F8" w:rsidRDefault="00FD38F8" w:rsidP="00FD38F8">
            <w:r w:rsidRPr="00FD38F8">
              <w:t>OB/FVG</w:t>
            </w:r>
          </w:p>
        </w:tc>
        <w:tc>
          <w:tcPr>
            <w:tcW w:w="0" w:type="auto"/>
            <w:vAlign w:val="center"/>
            <w:hideMark/>
          </w:tcPr>
          <w:p w14:paraId="0B23DB6A" w14:textId="77777777" w:rsidR="00FD38F8" w:rsidRPr="00FD38F8" w:rsidRDefault="00FD38F8" w:rsidP="00FD38F8">
            <w:r w:rsidRPr="00FD38F8">
              <w:t>Displacement_Mag_ZScore</w:t>
            </w:r>
          </w:p>
        </w:tc>
        <w:tc>
          <w:tcPr>
            <w:tcW w:w="0" w:type="auto"/>
            <w:vAlign w:val="center"/>
            <w:hideMark/>
          </w:tcPr>
          <w:p w14:paraId="79A53876" w14:textId="77777777" w:rsidR="00FD38F8" w:rsidRPr="00FD38F8" w:rsidRDefault="00FD38F8" w:rsidP="00FD38F8">
            <w:r w:rsidRPr="00FD38F8">
              <w:t>Magnitude of move post-formation (in ATR units)</w:t>
            </w:r>
          </w:p>
        </w:tc>
        <w:tc>
          <w:tcPr>
            <w:tcW w:w="0" w:type="auto"/>
            <w:vAlign w:val="center"/>
            <w:hideMark/>
          </w:tcPr>
          <w:p w14:paraId="52740798" w14:textId="77777777" w:rsidR="00FD38F8" w:rsidRPr="00FD38F8" w:rsidRDefault="00FD38F8" w:rsidP="00FD38F8">
            <w:r w:rsidRPr="00FD38F8">
              <w:t xml:space="preserve">Z-Score Standardization </w:t>
            </w:r>
          </w:p>
        </w:tc>
        <w:tc>
          <w:tcPr>
            <w:tcW w:w="0" w:type="auto"/>
            <w:vAlign w:val="center"/>
            <w:hideMark/>
          </w:tcPr>
          <w:p w14:paraId="48542E75" w14:textId="77777777" w:rsidR="00FD38F8" w:rsidRPr="00FD38F8" w:rsidRDefault="00FD38F8" w:rsidP="00FD38F8">
            <w:r w:rsidRPr="00FD38F8">
              <w:t>Objective validation of institutional signature force.</w:t>
            </w:r>
          </w:p>
        </w:tc>
      </w:tr>
      <w:tr w:rsidR="00FD38F8" w:rsidRPr="00FD38F8" w14:paraId="012C7338" w14:textId="77777777">
        <w:trPr>
          <w:tblCellSpacing w:w="15" w:type="dxa"/>
        </w:trPr>
        <w:tc>
          <w:tcPr>
            <w:tcW w:w="0" w:type="auto"/>
            <w:vAlign w:val="center"/>
            <w:hideMark/>
          </w:tcPr>
          <w:p w14:paraId="37707427" w14:textId="77777777" w:rsidR="00FD38F8" w:rsidRPr="00FD38F8" w:rsidRDefault="00FD38F8" w:rsidP="00FD38F8">
            <w:r w:rsidRPr="00FD38F8">
              <w:t>Structure (BOS/ChoCH)</w:t>
            </w:r>
          </w:p>
        </w:tc>
        <w:tc>
          <w:tcPr>
            <w:tcW w:w="0" w:type="auto"/>
            <w:vAlign w:val="center"/>
            <w:hideMark/>
          </w:tcPr>
          <w:p w14:paraId="7024D661" w14:textId="77777777" w:rsidR="00FD38F8" w:rsidRPr="00FD38F8" w:rsidRDefault="00FD38F8" w:rsidP="00FD38F8">
            <w:r w:rsidRPr="00FD38F8">
              <w:t>BOS_Commitment_Flag</w:t>
            </w:r>
          </w:p>
        </w:tc>
        <w:tc>
          <w:tcPr>
            <w:tcW w:w="0" w:type="auto"/>
            <w:vAlign w:val="center"/>
            <w:hideMark/>
          </w:tcPr>
          <w:p w14:paraId="50413BC0" w14:textId="77777777" w:rsidR="00FD38F8" w:rsidRPr="00FD38F8" w:rsidRDefault="00FD38F8" w:rsidP="00FD38F8">
            <w:r w:rsidRPr="00FD38F8">
              <w:t>Binary: 1 if close_break=True , 0 otherwise</w:t>
            </w:r>
          </w:p>
        </w:tc>
        <w:tc>
          <w:tcPr>
            <w:tcW w:w="0" w:type="auto"/>
            <w:vAlign w:val="center"/>
            <w:hideMark/>
          </w:tcPr>
          <w:p w14:paraId="719E1FF8" w14:textId="77777777" w:rsidR="00FD38F8" w:rsidRPr="00FD38F8" w:rsidRDefault="00FD38F8" w:rsidP="00FD38F8">
            <w:r w:rsidRPr="00FD38F8">
              <w:t>None (Binary Flag)</w:t>
            </w:r>
          </w:p>
        </w:tc>
        <w:tc>
          <w:tcPr>
            <w:tcW w:w="0" w:type="auto"/>
            <w:vAlign w:val="center"/>
            <w:hideMark/>
          </w:tcPr>
          <w:p w14:paraId="5A3D6A86" w14:textId="77777777" w:rsidR="00FD38F8" w:rsidRPr="00FD38F8" w:rsidRDefault="00FD38F8" w:rsidP="00FD38F8">
            <w:r w:rsidRPr="00FD38F8">
              <w:t>Indicator of structural strength versus a simple liquidity sweep.</w:t>
            </w:r>
          </w:p>
        </w:tc>
      </w:tr>
      <w:tr w:rsidR="00FD38F8" w:rsidRPr="00FD38F8" w14:paraId="5EDC31EB" w14:textId="77777777">
        <w:trPr>
          <w:tblCellSpacing w:w="15" w:type="dxa"/>
        </w:trPr>
        <w:tc>
          <w:tcPr>
            <w:tcW w:w="0" w:type="auto"/>
            <w:vAlign w:val="center"/>
            <w:hideMark/>
          </w:tcPr>
          <w:p w14:paraId="214CEB56" w14:textId="77777777" w:rsidR="00FD38F8" w:rsidRPr="00FD38F8" w:rsidRDefault="00FD38F8" w:rsidP="00FD38F8">
            <w:r w:rsidRPr="00FD38F8">
              <w:t>FVG/OB</w:t>
            </w:r>
          </w:p>
        </w:tc>
        <w:tc>
          <w:tcPr>
            <w:tcW w:w="0" w:type="auto"/>
            <w:vAlign w:val="center"/>
            <w:hideMark/>
          </w:tcPr>
          <w:p w14:paraId="1EECFA5E" w14:textId="77777777" w:rsidR="00FD38F8" w:rsidRPr="00FD38F8" w:rsidRDefault="00FD38F8" w:rsidP="00FD38F8">
            <w:r w:rsidRPr="00FD38F8">
              <w:t>Distance_to_Entry_ATR</w:t>
            </w:r>
          </w:p>
        </w:tc>
        <w:tc>
          <w:tcPr>
            <w:tcW w:w="0" w:type="auto"/>
            <w:vAlign w:val="center"/>
            <w:hideMark/>
          </w:tcPr>
          <w:p w14:paraId="044DA901" w14:textId="77777777" w:rsidR="00FD38F8" w:rsidRPr="00FD38F8" w:rsidRDefault="00FD38F8" w:rsidP="00FD38F8">
            <w:r w:rsidRPr="00FD38F8">
              <w:t>Current price distance to OB/FVG edge</w:t>
            </w:r>
          </w:p>
        </w:tc>
        <w:tc>
          <w:tcPr>
            <w:tcW w:w="0" w:type="auto"/>
            <w:vAlign w:val="center"/>
            <w:hideMark/>
          </w:tcPr>
          <w:p w14:paraId="325933B7" w14:textId="77777777" w:rsidR="00FD38F8" w:rsidRPr="00FD38F8" w:rsidRDefault="00FD38F8" w:rsidP="00FD38F8">
            <w:r w:rsidRPr="00FD38F8">
              <w:t>Divided by N-period ATR</w:t>
            </w:r>
          </w:p>
        </w:tc>
        <w:tc>
          <w:tcPr>
            <w:tcW w:w="0" w:type="auto"/>
            <w:vAlign w:val="center"/>
            <w:hideMark/>
          </w:tcPr>
          <w:p w14:paraId="2321B2FC" w14:textId="77777777" w:rsidR="00FD38F8" w:rsidRPr="00FD38F8" w:rsidRDefault="00FD38F8" w:rsidP="00FD38F8">
            <w:r w:rsidRPr="00FD38F8">
              <w:t>Measures proximity and risk profile urgency of the setup.</w:t>
            </w:r>
          </w:p>
        </w:tc>
      </w:tr>
    </w:tbl>
    <w:p w14:paraId="4073E7B0" w14:textId="77777777" w:rsidR="00FD38F8" w:rsidRPr="00FD38F8" w:rsidRDefault="00FD38F8" w:rsidP="00FD38F8">
      <w:r w:rsidRPr="00FD38F8">
        <w:lastRenderedPageBreak/>
        <w:t xml:space="preserve">  </w:t>
      </w:r>
    </w:p>
    <w:p w14:paraId="398C2EE4" w14:textId="77777777" w:rsidR="00FD38F8" w:rsidRPr="00FD38F8" w:rsidRDefault="00FD38F8" w:rsidP="00FD38F8">
      <w:pPr>
        <w:rPr>
          <w:b/>
          <w:bCs/>
        </w:rPr>
      </w:pPr>
      <w:r w:rsidRPr="00FD38F8">
        <w:rPr>
          <w:b/>
          <w:bCs/>
        </w:rPr>
        <w:t>VI. Contextual Filtering and Market Regime Classification</w:t>
      </w:r>
    </w:p>
    <w:p w14:paraId="51EFC681" w14:textId="77777777" w:rsidR="00FD38F8" w:rsidRPr="00FD38F8" w:rsidRDefault="00FD38F8" w:rsidP="00FD38F8">
      <w:pPr>
        <w:rPr>
          <w:b/>
          <w:bCs/>
        </w:rPr>
      </w:pPr>
      <w:r w:rsidRPr="00FD38F8">
        <w:rPr>
          <w:b/>
          <w:bCs/>
        </w:rPr>
        <w:t>6.0 Necessity of Regime Filtering</w:t>
      </w:r>
    </w:p>
    <w:p w14:paraId="769F2F5B" w14:textId="77777777" w:rsidR="00FD38F8" w:rsidRPr="00FD38F8" w:rsidRDefault="00FD38F8" w:rsidP="00FD38F8">
      <w:r w:rsidRPr="00FD38F8">
        <w:t xml:space="preserve">The reliability of SMC formations is highly dependent on the current market context. A high-quality Order Block may fail if the market is operating under a volatile, choppy regime or is consolidating. Implementing contextual filtering and regime classification acts as a critical gatekeeping layer, reducing false positives and ensuring trade setups align only with institutional accumulation/distribution phases. The ML model must learn </w:t>
      </w:r>
      <w:r w:rsidRPr="00FD38F8">
        <w:rPr>
          <w:i/>
          <w:iCs/>
        </w:rPr>
        <w:t>when</w:t>
      </w:r>
      <w:r w:rsidRPr="00FD38F8">
        <w:t xml:space="preserve"> to trust an OB or FVG, not just </w:t>
      </w:r>
      <w:r w:rsidRPr="00FD38F8">
        <w:rPr>
          <w:i/>
          <w:iCs/>
        </w:rPr>
        <w:t>if</w:t>
      </w:r>
      <w:r w:rsidRPr="00FD38F8">
        <w:t xml:space="preserve"> it is present.   </w:t>
      </w:r>
    </w:p>
    <w:p w14:paraId="53E8B6DC" w14:textId="77777777" w:rsidR="00FD38F8" w:rsidRPr="00FD38F8" w:rsidRDefault="00FD38F8" w:rsidP="00FD38F8">
      <w:pPr>
        <w:rPr>
          <w:b/>
          <w:bCs/>
        </w:rPr>
      </w:pPr>
      <w:r w:rsidRPr="00FD38F8">
        <w:rPr>
          <w:b/>
          <w:bCs/>
        </w:rPr>
        <w:t>6.1 Trend Filtering and Institutional Bias</w:t>
      </w:r>
    </w:p>
    <w:p w14:paraId="21BBF90E" w14:textId="77777777" w:rsidR="00FD38F8" w:rsidRPr="00FD38F8" w:rsidRDefault="00FD38F8" w:rsidP="00FD38F8">
      <w:r w:rsidRPr="00FD38F8">
        <w:t xml:space="preserve">Trend filtering provides essential directionality bias. Higher timeframes (e.g., H4 or Daily charts) are utilized to establish the macro trend, and long-period moving averages, such as the 50-period Exponential Moving Average (EMA), serve as objective trend indicators.   </w:t>
      </w:r>
    </w:p>
    <w:p w14:paraId="434E4D7A" w14:textId="77777777" w:rsidR="00FD38F8" w:rsidRPr="00FD38F8" w:rsidRDefault="00FD38F8" w:rsidP="00FD38F8">
      <w:r w:rsidRPr="00FD38F8">
        <w:t xml:space="preserve">The prescriptive rule is: only consider bullish OB/FVG setups when the price is trading above the 50-EMA; conversely, only consider short setups when the price is below the 50-EMA. A scalar feature, </w:t>
      </w:r>
      <w:r w:rsidRPr="00FD38F8">
        <w:rPr>
          <w:b/>
          <w:bCs/>
        </w:rPr>
        <w:t>Trend_Bias_Indicator</w:t>
      </w:r>
      <w:r w:rsidRPr="00FD38F8">
        <w:t xml:space="preserve">, must be engineered to capture the distance from the price to the 50-EMA, normalized by ATR, to measure the strength and consistency of the institutional trend.   </w:t>
      </w:r>
    </w:p>
    <w:p w14:paraId="2DFF0E6C" w14:textId="77777777" w:rsidR="00FD38F8" w:rsidRPr="00FD38F8" w:rsidRDefault="00FD38F8" w:rsidP="00FD38F8">
      <w:pPr>
        <w:rPr>
          <w:b/>
          <w:bCs/>
        </w:rPr>
      </w:pPr>
      <w:r w:rsidRPr="00FD38F8">
        <w:rPr>
          <w:b/>
          <w:bCs/>
        </w:rPr>
        <w:t>6.2 Volatility and Momentum Confirmation</w:t>
      </w:r>
    </w:p>
    <w:p w14:paraId="2CD91B8E" w14:textId="77777777" w:rsidR="00FD38F8" w:rsidRPr="00FD38F8" w:rsidRDefault="00FD38F8" w:rsidP="00FD38F8">
      <w:r w:rsidRPr="00FD38F8">
        <w:t xml:space="preserve">To prevent entering trades during market exhaustion or prior to immediate counter-moves, momentum confirmation is crucial. The Relative Strength Index (RSI) is used to filter setups, avoiding long entries when the market is approaching overbought conditions (e.g., RSI &gt; 70) and avoiding short entries when the market is near oversold conditions (e.g., RSI &lt; 30).   </w:t>
      </w:r>
    </w:p>
    <w:p w14:paraId="2002D3A8" w14:textId="77777777" w:rsidR="00FD38F8" w:rsidRPr="00FD38F8" w:rsidRDefault="00FD38F8" w:rsidP="00FD38F8">
      <w:r w:rsidRPr="00FD38F8">
        <w:t xml:space="preserve">Furthermore, an explicit </w:t>
      </w:r>
      <w:r w:rsidRPr="00FD38F8">
        <w:rPr>
          <w:b/>
          <w:bCs/>
        </w:rPr>
        <w:t>Regime Feature: Volatility State</w:t>
      </w:r>
      <w:r w:rsidRPr="00FD38F8">
        <w:t xml:space="preserve"> must be implemented to categorize the current market behavior. Sophisticated classification models typically define market states, such as High Vol/Trend, Low Vol/Chop, or High Vol/Chop. Valid institutional Order Blocks are most reliable when the regime indicates trending conditions. By incorporating this regime classification as a categorical feature, the ML algorithm can dynamically adjust the predictive weight assigned to the core SMC features during periods deemed unfavorable (e.g., Low Vol/Chop), vastly improving the model’s overall reliability.   </w:t>
      </w:r>
    </w:p>
    <w:p w14:paraId="277E88EF" w14:textId="77777777" w:rsidR="00FD38F8" w:rsidRPr="00FD38F8" w:rsidRDefault="00FD38F8" w:rsidP="00FD38F8">
      <w:pPr>
        <w:rPr>
          <w:b/>
          <w:bCs/>
        </w:rPr>
      </w:pPr>
      <w:r w:rsidRPr="00FD38F8">
        <w:rPr>
          <w:b/>
          <w:bCs/>
        </w:rPr>
        <w:t>VII. Strategy and ML Trade Labeling: The Tri-Barrier Model</w:t>
      </w:r>
    </w:p>
    <w:p w14:paraId="3C57F571" w14:textId="77777777" w:rsidR="00FD38F8" w:rsidRPr="00FD38F8" w:rsidRDefault="00FD38F8" w:rsidP="00FD38F8">
      <w:pPr>
        <w:rPr>
          <w:b/>
          <w:bCs/>
        </w:rPr>
      </w:pPr>
      <w:r w:rsidRPr="00FD38F8">
        <w:rPr>
          <w:b/>
          <w:bCs/>
        </w:rPr>
        <w:t>7.0 Strategy Alignment: The Retracement Entry</w:t>
      </w:r>
    </w:p>
    <w:p w14:paraId="156FC7DF" w14:textId="77777777" w:rsidR="00FD38F8" w:rsidRPr="00FD38F8" w:rsidRDefault="00FD38F8" w:rsidP="00FD38F8">
      <w:r w:rsidRPr="00FD38F8">
        <w:t xml:space="preserve">The high-probability SMC strategy dictates that trades are executed during the retracement phase, when price revisits the institutional order flow zone—the boundary of the Order Block or Fair Value Gap. This point of retest serves as the objective entry trigger for the ML system.   </w:t>
      </w:r>
    </w:p>
    <w:p w14:paraId="7C5364FD" w14:textId="77777777" w:rsidR="00FD38F8" w:rsidRPr="00FD38F8" w:rsidRDefault="00FD38F8" w:rsidP="00FD38F8">
      <w:pPr>
        <w:rPr>
          <w:b/>
          <w:bCs/>
        </w:rPr>
      </w:pPr>
      <w:r w:rsidRPr="00FD38F8">
        <w:rPr>
          <w:b/>
          <w:bCs/>
        </w:rPr>
        <w:t>7.1 Defining the Risk (R) Barrier (Stop Loss)</w:t>
      </w:r>
    </w:p>
    <w:p w14:paraId="265639D8" w14:textId="77777777" w:rsidR="00FD38F8" w:rsidRPr="00FD38F8" w:rsidRDefault="00FD38F8" w:rsidP="00FD38F8">
      <w:r w:rsidRPr="00FD38F8">
        <w:lastRenderedPageBreak/>
        <w:t xml:space="preserve">The placement of the stop loss (defining 1R) must be structurally precise. It provides the maximum risk exposure and must be positioned just outside the boundary of the protective zone.   </w:t>
      </w:r>
    </w:p>
    <w:p w14:paraId="54F5D7BA" w14:textId="77777777" w:rsidR="00FD38F8" w:rsidRPr="00FD38F8" w:rsidRDefault="00FD38F8" w:rsidP="00FD38F8">
      <w:pPr>
        <w:numPr>
          <w:ilvl w:val="0"/>
          <w:numId w:val="5"/>
        </w:numPr>
      </w:pPr>
      <w:r w:rsidRPr="00FD38F8">
        <w:t>For a bullish setup, the stop is placed marginally below the bottom of the FVG/OB.</w:t>
      </w:r>
    </w:p>
    <w:p w14:paraId="7661E69D" w14:textId="77777777" w:rsidR="00FD38F8" w:rsidRPr="00FD38F8" w:rsidRDefault="00FD38F8" w:rsidP="00FD38F8">
      <w:pPr>
        <w:numPr>
          <w:ilvl w:val="0"/>
          <w:numId w:val="5"/>
        </w:numPr>
      </w:pPr>
      <w:r w:rsidRPr="00FD38F8">
        <w:t xml:space="preserve">For a bearish setup, the stop is placed marginally above the top of the FVG/OB.   </w:t>
      </w:r>
    </w:p>
    <w:p w14:paraId="24D91264" w14:textId="77777777" w:rsidR="00FD38F8" w:rsidRPr="00FD38F8" w:rsidRDefault="00FD38F8" w:rsidP="00FD38F8">
      <w:r w:rsidRPr="00FD38F8">
        <w:t xml:space="preserve">The distance from the entry price to this stop-loss level, normalized by ATR, constitutes the core </w:t>
      </w:r>
      <w:r w:rsidRPr="00FD38F8">
        <w:rPr>
          <w:b/>
          <w:bCs/>
        </w:rPr>
        <w:t>Risk_Per_Trade</w:t>
      </w:r>
      <w:r w:rsidRPr="00FD38F8">
        <w:t xml:space="preserve"> feature , ensuring a standardized, objective risk assessment for every trade observation.   </w:t>
      </w:r>
    </w:p>
    <w:p w14:paraId="36A35BD2" w14:textId="77777777" w:rsidR="00FD38F8" w:rsidRPr="00FD38F8" w:rsidRDefault="00FD38F8" w:rsidP="00FD38F8">
      <w:pPr>
        <w:rPr>
          <w:b/>
          <w:bCs/>
        </w:rPr>
      </w:pPr>
      <w:r w:rsidRPr="00FD38F8">
        <w:rPr>
          <w:b/>
          <w:bCs/>
        </w:rPr>
        <w:t>7.2 Defining the Reward (P) Barrier (Take Profit)</w:t>
      </w:r>
    </w:p>
    <w:p w14:paraId="34066ACB" w14:textId="77777777" w:rsidR="00FD38F8" w:rsidRPr="00FD38F8" w:rsidRDefault="00FD38F8" w:rsidP="00FD38F8">
      <w:r w:rsidRPr="00FD38F8">
        <w:t xml:space="preserve">For algorithmic consistency, institutions typically employ fixed Risk-Reward (R:R) ratios. A common benchmark for favorable setups is , meaning three units of anticipated return for every one unit of risk.   </w:t>
      </w:r>
    </w:p>
    <w:p w14:paraId="753BCFF9" w14:textId="77777777" w:rsidR="00FD38F8" w:rsidRPr="00FD38F8" w:rsidRDefault="00FD38F8" w:rsidP="00FD38F8">
      <w:r w:rsidRPr="00FD38F8">
        <w:t>The Take Profit Level is calculated by adding or subtracting the Stop Loss Distance multiplied by the desired R:R ratio (e.g., ). The ML backbone should be designed to test the optimal fixed R:R ratio for the given asset and time frame, ranging from conservative ratios (e.g., 1:2) to aggressive ones (e.g., 1:4).</w:t>
      </w:r>
    </w:p>
    <w:p w14:paraId="12A688AF" w14:textId="77777777" w:rsidR="00FD38F8" w:rsidRPr="00FD38F8" w:rsidRDefault="00FD38F8" w:rsidP="00FD38F8">
      <w:pPr>
        <w:rPr>
          <w:b/>
          <w:bCs/>
        </w:rPr>
      </w:pPr>
      <w:r w:rsidRPr="00FD38F8">
        <w:rPr>
          <w:b/>
          <w:bCs/>
        </w:rPr>
        <w:t>7.3 Implementation of the Triple Barrier Method (TBM) for Labeling</w:t>
      </w:r>
    </w:p>
    <w:p w14:paraId="19D6538E" w14:textId="77777777" w:rsidR="00FD38F8" w:rsidRPr="00FD38F8" w:rsidRDefault="00FD38F8" w:rsidP="00FD38F8">
      <w:r w:rsidRPr="00FD38F8">
        <w:t xml:space="preserve">For supervised machine learning classification, the standard stop-loss and take-profit method is insufficient as it allows for ambiguous outcomes (e.g., price grazing both limits before a major move). The Triple Barrier Method (TBM) is employed because it guarantees a single, non-overlapping, deterministic outcome for every entry observation , which is essential for classification model training.   </w:t>
      </w:r>
    </w:p>
    <w:p w14:paraId="4E5027FB" w14:textId="77777777" w:rsidR="00FD38F8" w:rsidRPr="00FD38F8" w:rsidRDefault="00FD38F8" w:rsidP="00FD38F8">
      <w:r w:rsidRPr="00FD38F8">
        <w:t>The TBM uses three distinct barriers to classify the outcome of an initiated trade:</w:t>
      </w:r>
    </w:p>
    <w:p w14:paraId="741AA744" w14:textId="77777777" w:rsidR="00FD38F8" w:rsidRPr="00FD38F8" w:rsidRDefault="00FD38F8" w:rsidP="00FD38F8">
      <w:pPr>
        <w:numPr>
          <w:ilvl w:val="0"/>
          <w:numId w:val="6"/>
        </w:numPr>
      </w:pPr>
      <w:r w:rsidRPr="00FD38F8">
        <w:rPr>
          <w:b/>
          <w:bCs/>
        </w:rPr>
        <w:t>Lower Barrier (Stop Loss):</w:t>
      </w:r>
      <w:r w:rsidRPr="00FD38F8">
        <w:t xml:space="preserve"> If price hits the predefined risk level (1R). This yields an </w:t>
      </w:r>
      <w:r w:rsidRPr="00FD38F8">
        <w:rPr>
          <w:b/>
          <w:bCs/>
        </w:rPr>
        <w:t>ML Label = -1 (Loss)</w:t>
      </w:r>
      <w:r w:rsidRPr="00FD38F8">
        <w:t>.</w:t>
      </w:r>
    </w:p>
    <w:p w14:paraId="3D8FC8CD" w14:textId="77777777" w:rsidR="00FD38F8" w:rsidRPr="00FD38F8" w:rsidRDefault="00FD38F8" w:rsidP="00FD38F8">
      <w:pPr>
        <w:numPr>
          <w:ilvl w:val="0"/>
          <w:numId w:val="6"/>
        </w:numPr>
      </w:pPr>
      <w:r w:rsidRPr="00FD38F8">
        <w:rPr>
          <w:b/>
          <w:bCs/>
        </w:rPr>
        <w:t>Upper Barrier (Take Profit):</w:t>
      </w:r>
      <w:r w:rsidRPr="00FD38F8">
        <w:t xml:space="preserve"> If price hits the predefined reward level (e.g., 3R). This yields an </w:t>
      </w:r>
      <w:r w:rsidRPr="00FD38F8">
        <w:rPr>
          <w:b/>
          <w:bCs/>
        </w:rPr>
        <w:t>ML Label = 1 (Win)</w:t>
      </w:r>
      <w:r w:rsidRPr="00FD38F8">
        <w:t>.</w:t>
      </w:r>
    </w:p>
    <w:p w14:paraId="501725EE" w14:textId="77777777" w:rsidR="00FD38F8" w:rsidRPr="00FD38F8" w:rsidRDefault="00FD38F8" w:rsidP="00FD38F8">
      <w:pPr>
        <w:numPr>
          <w:ilvl w:val="0"/>
          <w:numId w:val="6"/>
        </w:numPr>
      </w:pPr>
      <w:r w:rsidRPr="00FD38F8">
        <w:rPr>
          <w:b/>
          <w:bCs/>
        </w:rPr>
        <w:t>Vertical Barrier (Time Out):</w:t>
      </w:r>
      <w:r w:rsidRPr="00FD38F8">
        <w:t xml:space="preserve"> If a maximum look-forward period (time threshold) expires before either price barrier is breached. This yields an </w:t>
      </w:r>
      <w:r w:rsidRPr="00FD38F8">
        <w:rPr>
          <w:b/>
          <w:bCs/>
        </w:rPr>
        <w:t>ML Label = 0 (Neutral/Time Out)</w:t>
      </w:r>
      <w:r w:rsidRPr="00FD38F8">
        <w:t>.</w:t>
      </w:r>
    </w:p>
    <w:p w14:paraId="231703EA" w14:textId="77777777" w:rsidR="00FD38F8" w:rsidRPr="00FD38F8" w:rsidRDefault="00FD38F8" w:rsidP="00FD38F8">
      <w:r w:rsidRPr="00FD38F8">
        <w:t xml:space="preserve">The TBM output serves as the dependent variable for the ML classification model. Crucially, by tracking the frequency of trades that hit the time-out barrier (Label=0), the TBM acts as a quantitative measure of the </w:t>
      </w:r>
      <w:r w:rsidRPr="00FD38F8">
        <w:rPr>
          <w:i/>
          <w:iCs/>
        </w:rPr>
        <w:t>efficiency</w:t>
      </w:r>
      <w:r w:rsidRPr="00FD38F8">
        <w:t xml:space="preserve"> of the underlying SMC strategy. A high frequency of time-outs suggests either that the model is entering too early, or that the defined R:R targets are too ambitious for the current market velocity, allowing researchers to refine the entry criteria or the R:R setting.</w:t>
      </w:r>
    </w:p>
    <w:p w14:paraId="44FDE36D" w14:textId="77777777" w:rsidR="00FD38F8" w:rsidRPr="00FD38F8" w:rsidRDefault="00FD38F8" w:rsidP="00FD38F8">
      <w:r w:rsidRPr="00FD38F8">
        <w:lastRenderedPageBreak/>
        <w:t>Table 2: Triple Barrier Labeling Specification for SMC Entry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4"/>
        <w:gridCol w:w="1984"/>
        <w:gridCol w:w="1872"/>
        <w:gridCol w:w="1883"/>
        <w:gridCol w:w="2407"/>
      </w:tblGrid>
      <w:tr w:rsidR="00FD38F8" w:rsidRPr="00FD38F8" w14:paraId="78F5C7B9" w14:textId="77777777">
        <w:trPr>
          <w:tblHeader/>
          <w:tblCellSpacing w:w="15" w:type="dxa"/>
        </w:trPr>
        <w:tc>
          <w:tcPr>
            <w:tcW w:w="0" w:type="auto"/>
            <w:vAlign w:val="center"/>
            <w:hideMark/>
          </w:tcPr>
          <w:p w14:paraId="5B0AA802" w14:textId="77777777" w:rsidR="00FD38F8" w:rsidRPr="00FD38F8" w:rsidRDefault="00FD38F8" w:rsidP="00FD38F8">
            <w:r w:rsidRPr="00FD38F8">
              <w:rPr>
                <w:b/>
                <w:bCs/>
              </w:rPr>
              <w:t>Barrier Type</w:t>
            </w:r>
          </w:p>
        </w:tc>
        <w:tc>
          <w:tcPr>
            <w:tcW w:w="0" w:type="auto"/>
            <w:vAlign w:val="center"/>
            <w:hideMark/>
          </w:tcPr>
          <w:p w14:paraId="42DC45A5" w14:textId="77777777" w:rsidR="00FD38F8" w:rsidRPr="00FD38F8" w:rsidRDefault="00FD38F8" w:rsidP="00FD38F8">
            <w:r w:rsidRPr="00FD38F8">
              <w:rPr>
                <w:b/>
                <w:bCs/>
              </w:rPr>
              <w:t>Definition (Price Level)</w:t>
            </w:r>
          </w:p>
        </w:tc>
        <w:tc>
          <w:tcPr>
            <w:tcW w:w="0" w:type="auto"/>
            <w:vAlign w:val="center"/>
            <w:hideMark/>
          </w:tcPr>
          <w:p w14:paraId="17689A85" w14:textId="77777777" w:rsidR="00FD38F8" w:rsidRPr="00FD38F8" w:rsidRDefault="00FD38F8" w:rsidP="00FD38F8">
            <w:r w:rsidRPr="00FD38F8">
              <w:rPr>
                <w:b/>
                <w:bCs/>
              </w:rPr>
              <w:t>Calculation Basis</w:t>
            </w:r>
          </w:p>
        </w:tc>
        <w:tc>
          <w:tcPr>
            <w:tcW w:w="0" w:type="auto"/>
            <w:vAlign w:val="center"/>
            <w:hideMark/>
          </w:tcPr>
          <w:p w14:paraId="22FC900C" w14:textId="77777777" w:rsidR="00FD38F8" w:rsidRPr="00FD38F8" w:rsidRDefault="00FD38F8" w:rsidP="00FD38F8">
            <w:r w:rsidRPr="00FD38F8">
              <w:rPr>
                <w:b/>
                <w:bCs/>
              </w:rPr>
              <w:t>Resulting ML Label</w:t>
            </w:r>
          </w:p>
        </w:tc>
        <w:tc>
          <w:tcPr>
            <w:tcW w:w="0" w:type="auto"/>
            <w:vAlign w:val="center"/>
            <w:hideMark/>
          </w:tcPr>
          <w:p w14:paraId="4E2EEAE2" w14:textId="77777777" w:rsidR="00FD38F8" w:rsidRPr="00FD38F8" w:rsidRDefault="00FD38F8" w:rsidP="00FD38F8">
            <w:r w:rsidRPr="00FD38F8">
              <w:rPr>
                <w:b/>
                <w:bCs/>
              </w:rPr>
              <w:t>Justification</w:t>
            </w:r>
          </w:p>
        </w:tc>
      </w:tr>
      <w:tr w:rsidR="00FD38F8" w:rsidRPr="00FD38F8" w14:paraId="29D39FB9" w14:textId="77777777">
        <w:trPr>
          <w:tblCellSpacing w:w="15" w:type="dxa"/>
        </w:trPr>
        <w:tc>
          <w:tcPr>
            <w:tcW w:w="0" w:type="auto"/>
            <w:vAlign w:val="center"/>
            <w:hideMark/>
          </w:tcPr>
          <w:p w14:paraId="07FC0C6E" w14:textId="77777777" w:rsidR="00FD38F8" w:rsidRPr="00FD38F8" w:rsidRDefault="00FD38F8" w:rsidP="00FD38F8">
            <w:r w:rsidRPr="00FD38F8">
              <w:t>Stop Loss (Lower)</w:t>
            </w:r>
          </w:p>
        </w:tc>
        <w:tc>
          <w:tcPr>
            <w:tcW w:w="0" w:type="auto"/>
            <w:vAlign w:val="center"/>
            <w:hideMark/>
          </w:tcPr>
          <w:p w14:paraId="6B759420" w14:textId="77777777" w:rsidR="00FD38F8" w:rsidRPr="00FD38F8" w:rsidRDefault="00FD38F8" w:rsidP="00FD38F8">
            <w:r w:rsidRPr="00FD38F8">
              <w:t xml:space="preserve">Marginally past OB/FVG protective boundary </w:t>
            </w:r>
          </w:p>
        </w:tc>
        <w:tc>
          <w:tcPr>
            <w:tcW w:w="0" w:type="auto"/>
            <w:vAlign w:val="center"/>
            <w:hideMark/>
          </w:tcPr>
          <w:p w14:paraId="18C08A5C" w14:textId="77777777" w:rsidR="00FD38F8" w:rsidRPr="00FD38F8" w:rsidRDefault="00FD38F8" w:rsidP="00FD38F8">
            <w:r w:rsidRPr="00FD38F8">
              <w:t>1R (Risk) defined by structural distance</w:t>
            </w:r>
          </w:p>
        </w:tc>
        <w:tc>
          <w:tcPr>
            <w:tcW w:w="0" w:type="auto"/>
            <w:vAlign w:val="center"/>
            <w:hideMark/>
          </w:tcPr>
          <w:p w14:paraId="2D88B348" w14:textId="77777777" w:rsidR="00FD38F8" w:rsidRPr="00FD38F8" w:rsidRDefault="00FD38F8" w:rsidP="00FD38F8">
            <w:r w:rsidRPr="00FD38F8">
              <w:t>-1 (Loss)</w:t>
            </w:r>
          </w:p>
        </w:tc>
        <w:tc>
          <w:tcPr>
            <w:tcW w:w="0" w:type="auto"/>
            <w:vAlign w:val="center"/>
            <w:hideMark/>
          </w:tcPr>
          <w:p w14:paraId="70528C0C" w14:textId="77777777" w:rsidR="00FD38F8" w:rsidRPr="00FD38F8" w:rsidRDefault="00FD38F8" w:rsidP="00FD38F8">
            <w:r w:rsidRPr="00FD38F8">
              <w:t>Objective risk definition based on market structure failure.</w:t>
            </w:r>
          </w:p>
        </w:tc>
      </w:tr>
      <w:tr w:rsidR="00FD38F8" w:rsidRPr="00FD38F8" w14:paraId="1A192EFE" w14:textId="77777777">
        <w:trPr>
          <w:tblCellSpacing w:w="15" w:type="dxa"/>
        </w:trPr>
        <w:tc>
          <w:tcPr>
            <w:tcW w:w="0" w:type="auto"/>
            <w:vAlign w:val="center"/>
            <w:hideMark/>
          </w:tcPr>
          <w:p w14:paraId="36A33D52" w14:textId="77777777" w:rsidR="00FD38F8" w:rsidRPr="00FD38F8" w:rsidRDefault="00FD38F8" w:rsidP="00FD38F8">
            <w:r w:rsidRPr="00FD38F8">
              <w:t>Take Profit (Upper)</w:t>
            </w:r>
          </w:p>
        </w:tc>
        <w:tc>
          <w:tcPr>
            <w:tcW w:w="0" w:type="auto"/>
            <w:vAlign w:val="center"/>
            <w:hideMark/>
          </w:tcPr>
          <w:p w14:paraId="2F7446B6" w14:textId="77777777" w:rsidR="00FD38F8" w:rsidRPr="00FD38F8" w:rsidRDefault="00FD38F8" w:rsidP="00FD38F8">
            <w:r w:rsidRPr="00FD38F8">
              <w:t xml:space="preserve">Fixed multiple of Stop Loss distance (e.g., 3R) </w:t>
            </w:r>
          </w:p>
        </w:tc>
        <w:tc>
          <w:tcPr>
            <w:tcW w:w="0" w:type="auto"/>
            <w:vAlign w:val="center"/>
            <w:hideMark/>
          </w:tcPr>
          <w:p w14:paraId="1AC97861" w14:textId="77777777" w:rsidR="00FD38F8" w:rsidRPr="00FD38F8" w:rsidRDefault="00FD38F8" w:rsidP="00FD38F8">
            <w:r w:rsidRPr="00FD38F8">
              <w:t>3R (Reward) benchmark</w:t>
            </w:r>
          </w:p>
        </w:tc>
        <w:tc>
          <w:tcPr>
            <w:tcW w:w="0" w:type="auto"/>
            <w:vAlign w:val="center"/>
            <w:hideMark/>
          </w:tcPr>
          <w:p w14:paraId="3E1BE6EC" w14:textId="77777777" w:rsidR="00FD38F8" w:rsidRPr="00FD38F8" w:rsidRDefault="00FD38F8" w:rsidP="00FD38F8">
            <w:r w:rsidRPr="00FD38F8">
              <w:t>1 (Win)</w:t>
            </w:r>
          </w:p>
        </w:tc>
        <w:tc>
          <w:tcPr>
            <w:tcW w:w="0" w:type="auto"/>
            <w:vAlign w:val="center"/>
            <w:hideMark/>
          </w:tcPr>
          <w:p w14:paraId="4F76C2BA" w14:textId="77777777" w:rsidR="00FD38F8" w:rsidRPr="00FD38F8" w:rsidRDefault="00FD38F8" w:rsidP="00FD38F8">
            <w:r w:rsidRPr="00FD38F8">
              <w:t>Standardized, high-probability target alignment.</w:t>
            </w:r>
          </w:p>
        </w:tc>
      </w:tr>
      <w:tr w:rsidR="00FD38F8" w:rsidRPr="00FD38F8" w14:paraId="24197E47" w14:textId="77777777">
        <w:trPr>
          <w:tblCellSpacing w:w="15" w:type="dxa"/>
        </w:trPr>
        <w:tc>
          <w:tcPr>
            <w:tcW w:w="0" w:type="auto"/>
            <w:vAlign w:val="center"/>
            <w:hideMark/>
          </w:tcPr>
          <w:p w14:paraId="532C7C72" w14:textId="77777777" w:rsidR="00FD38F8" w:rsidRPr="00FD38F8" w:rsidRDefault="00FD38F8" w:rsidP="00FD38F8">
            <w:r w:rsidRPr="00FD38F8">
              <w:t>Time Out (Vertical)</w:t>
            </w:r>
          </w:p>
        </w:tc>
        <w:tc>
          <w:tcPr>
            <w:tcW w:w="0" w:type="auto"/>
            <w:vAlign w:val="center"/>
            <w:hideMark/>
          </w:tcPr>
          <w:p w14:paraId="6CAF07C4" w14:textId="77777777" w:rsidR="00FD38F8" w:rsidRPr="00FD38F8" w:rsidRDefault="00FD38F8" w:rsidP="00FD38F8">
            <w:r w:rsidRPr="00FD38F8">
              <w:t>Maximum look-forward period (e.g., 20 candles)</w:t>
            </w:r>
          </w:p>
        </w:tc>
        <w:tc>
          <w:tcPr>
            <w:tcW w:w="0" w:type="auto"/>
            <w:vAlign w:val="center"/>
            <w:hideMark/>
          </w:tcPr>
          <w:p w14:paraId="11C9C8B1" w14:textId="77777777" w:rsidR="00FD38F8" w:rsidRPr="00FD38F8" w:rsidRDefault="00FD38F8" w:rsidP="00FD38F8">
            <w:r w:rsidRPr="00FD38F8">
              <w:t>Time-based threshold</w:t>
            </w:r>
          </w:p>
        </w:tc>
        <w:tc>
          <w:tcPr>
            <w:tcW w:w="0" w:type="auto"/>
            <w:vAlign w:val="center"/>
            <w:hideMark/>
          </w:tcPr>
          <w:p w14:paraId="0524E3BB" w14:textId="77777777" w:rsidR="00FD38F8" w:rsidRPr="00FD38F8" w:rsidRDefault="00FD38F8" w:rsidP="00FD38F8">
            <w:r w:rsidRPr="00FD38F8">
              <w:t>0 (Neutral/Timeout)</w:t>
            </w:r>
          </w:p>
        </w:tc>
        <w:tc>
          <w:tcPr>
            <w:tcW w:w="0" w:type="auto"/>
            <w:vAlign w:val="center"/>
            <w:hideMark/>
          </w:tcPr>
          <w:p w14:paraId="73411D99" w14:textId="77777777" w:rsidR="00FD38F8" w:rsidRPr="00FD38F8" w:rsidRDefault="00FD38F8" w:rsidP="00FD38F8">
            <w:r w:rsidRPr="00FD38F8">
              <w:t>Ensures timely trade resolution and prevents label decay.</w:t>
            </w:r>
          </w:p>
        </w:tc>
      </w:tr>
    </w:tbl>
    <w:p w14:paraId="010E41D6" w14:textId="77777777" w:rsidR="00FD38F8" w:rsidRPr="00FD38F8" w:rsidRDefault="00FD38F8" w:rsidP="00FD38F8">
      <w:r w:rsidRPr="00FD38F8">
        <w:t xml:space="preserve">  </w:t>
      </w:r>
    </w:p>
    <w:p w14:paraId="1B0072A1" w14:textId="77777777" w:rsidR="00FD38F8" w:rsidRPr="00FD38F8" w:rsidRDefault="00FD38F8" w:rsidP="00FD38F8">
      <w:pPr>
        <w:rPr>
          <w:b/>
          <w:bCs/>
        </w:rPr>
      </w:pPr>
      <w:r w:rsidRPr="00FD38F8">
        <w:rPr>
          <w:b/>
          <w:bCs/>
        </w:rPr>
        <w:t>VIII. Conclusion and Quantitative Implementation Roadmap</w:t>
      </w:r>
    </w:p>
    <w:p w14:paraId="7B3A53B1" w14:textId="77777777" w:rsidR="00FD38F8" w:rsidRPr="00FD38F8" w:rsidRDefault="00FD38F8" w:rsidP="00FD38F8">
      <w:pPr>
        <w:rPr>
          <w:b/>
          <w:bCs/>
        </w:rPr>
      </w:pPr>
      <w:r w:rsidRPr="00FD38F8">
        <w:rPr>
          <w:b/>
          <w:bCs/>
        </w:rPr>
        <w:t>8.0 Synthesizing the ML Backbone</w:t>
      </w:r>
    </w:p>
    <w:p w14:paraId="07A9A467" w14:textId="77777777" w:rsidR="00FD38F8" w:rsidRPr="00FD38F8" w:rsidRDefault="00FD38F8" w:rsidP="00FD38F8">
      <w:r w:rsidRPr="00FD38F8">
        <w:t>The transition from subjective visualization of Smart Money Concepts to a robust, institutional-grade quantitative framework is achieved through the systematic application of normalization, contextual filtering, and objective labeling. The synthesized ML backbone rests on three core, non-stationary robust data streams:</w:t>
      </w:r>
    </w:p>
    <w:p w14:paraId="1214BF4A" w14:textId="77777777" w:rsidR="00FD38F8" w:rsidRPr="00FD38F8" w:rsidRDefault="00FD38F8" w:rsidP="00FD38F8">
      <w:pPr>
        <w:numPr>
          <w:ilvl w:val="0"/>
          <w:numId w:val="7"/>
        </w:numPr>
      </w:pPr>
      <w:r w:rsidRPr="00FD38F8">
        <w:rPr>
          <w:b/>
          <w:bCs/>
        </w:rPr>
        <w:t>Structural Features (BOS/ChoCH):</w:t>
      </w:r>
      <w:r w:rsidRPr="00FD38F8">
        <w:t xml:space="preserve"> Normalized indicators of market directional intent, capturing both weak (wick) and strong (close) commitment to structure breaks.</w:t>
      </w:r>
    </w:p>
    <w:p w14:paraId="40FB3261" w14:textId="77777777" w:rsidR="00FD38F8" w:rsidRPr="00FD38F8" w:rsidRDefault="00FD38F8" w:rsidP="00FD38F8">
      <w:pPr>
        <w:numPr>
          <w:ilvl w:val="0"/>
          <w:numId w:val="7"/>
        </w:numPr>
      </w:pPr>
      <w:r w:rsidRPr="00FD38F8">
        <w:rPr>
          <w:b/>
          <w:bCs/>
        </w:rPr>
        <w:t>Location/Imbalance Features (OB/FVG):</w:t>
      </w:r>
      <w:r w:rsidRPr="00FD38F8">
        <w:t xml:space="preserve"> Volatility-adjusted measurements (in ATR units) of the institutional footprint size, magnitude of subsequent displacement (Z-Score), and proximity to the entry level.</w:t>
      </w:r>
    </w:p>
    <w:p w14:paraId="7FC88B6D" w14:textId="77777777" w:rsidR="00FD38F8" w:rsidRPr="00FD38F8" w:rsidRDefault="00FD38F8" w:rsidP="00FD38F8">
      <w:pPr>
        <w:numPr>
          <w:ilvl w:val="0"/>
          <w:numId w:val="7"/>
        </w:numPr>
      </w:pPr>
      <w:r w:rsidRPr="00FD38F8">
        <w:rPr>
          <w:b/>
          <w:bCs/>
        </w:rPr>
        <w:t>Contextual Features (Regime/Trend):</w:t>
      </w:r>
      <w:r w:rsidRPr="00FD38F8">
        <w:t xml:space="preserve"> Categorical and scalar features derived from EMAs, RSI, and volatility classification, which filter and gate the predictive relevance of the structural and imbalance features based on the prevailing market environment.</w:t>
      </w:r>
    </w:p>
    <w:p w14:paraId="4B99CCC8" w14:textId="77777777" w:rsidR="00FD38F8" w:rsidRPr="00FD38F8" w:rsidRDefault="00FD38F8" w:rsidP="00FD38F8">
      <w:pPr>
        <w:rPr>
          <w:b/>
          <w:bCs/>
        </w:rPr>
      </w:pPr>
      <w:r w:rsidRPr="00FD38F8">
        <w:rPr>
          <w:b/>
          <w:bCs/>
        </w:rPr>
        <w:t>8.1 Prescriptive Next Steps for ML Development</w:t>
      </w:r>
    </w:p>
    <w:p w14:paraId="6651FBFB" w14:textId="77777777" w:rsidR="00FD38F8" w:rsidRPr="00FD38F8" w:rsidRDefault="00FD38F8" w:rsidP="00FD38F8">
      <w:r w:rsidRPr="00FD38F8">
        <w:t>The successful deployment of this SMC backbone requires strict adherence to the defined quantitative pipeline:</w:t>
      </w:r>
    </w:p>
    <w:p w14:paraId="723CB887" w14:textId="77777777" w:rsidR="00FD38F8" w:rsidRPr="00FD38F8" w:rsidRDefault="00FD38F8" w:rsidP="00FD38F8">
      <w:pPr>
        <w:numPr>
          <w:ilvl w:val="0"/>
          <w:numId w:val="8"/>
        </w:numPr>
      </w:pPr>
      <w:r w:rsidRPr="00FD38F8">
        <w:rPr>
          <w:b/>
          <w:bCs/>
        </w:rPr>
        <w:t>Data Preparation and Normalization:</w:t>
      </w:r>
      <w:r w:rsidRPr="00FD38F8">
        <w:t xml:space="preserve"> The implementation of the normalization pipeline (ATR normalization followed by Z-Score standardization) must be prioritized for all continuous geometric features. This step ensures that the model learns relative market dynamics rather than absolute price values, establishing a foundation of non-stationary robustness.</w:t>
      </w:r>
    </w:p>
    <w:p w14:paraId="1E8005E9" w14:textId="77777777" w:rsidR="00FD38F8" w:rsidRPr="00FD38F8" w:rsidRDefault="00FD38F8" w:rsidP="00FD38F8">
      <w:pPr>
        <w:numPr>
          <w:ilvl w:val="0"/>
          <w:numId w:val="8"/>
        </w:numPr>
      </w:pPr>
      <w:r w:rsidRPr="00FD38F8">
        <w:rPr>
          <w:b/>
          <w:bCs/>
        </w:rPr>
        <w:lastRenderedPageBreak/>
        <w:t>Label Generation:</w:t>
      </w:r>
      <w:r w:rsidRPr="00FD38F8">
        <w:t xml:space="preserve"> The Triple Barrier Method (TBM) must be applied to all historical Order Block and Fair Value Gap retest events. The resulting dataset, categorized into Win (+1), Loss (-1), and Neutral (0) outcomes, provides the necessary dependent variable for supervised classification training.</w:t>
      </w:r>
    </w:p>
    <w:p w14:paraId="306F80A8" w14:textId="77777777" w:rsidR="00FD38F8" w:rsidRPr="00FD38F8" w:rsidRDefault="00FD38F8" w:rsidP="00FD38F8">
      <w:pPr>
        <w:numPr>
          <w:ilvl w:val="0"/>
          <w:numId w:val="8"/>
        </w:numPr>
      </w:pPr>
      <w:r w:rsidRPr="00FD38F8">
        <w:rPr>
          <w:b/>
          <w:bCs/>
        </w:rPr>
        <w:t>Model Training and Optimization:</w:t>
      </w:r>
      <w:r w:rsidRPr="00FD38F8">
        <w:t xml:space="preserve"> A classification model (e.g., Random Forest, Gradient Boosting, or Deep Neural Network) should be trained to predict the TBM outcome label based on the comprehensive, multi-dimensional feature vector defined in Section V. The key hyperparameters, such as the minimum required displacement threshold and the optimal R:R ratio, must be optimized using walk-forward testing.</w:t>
      </w:r>
    </w:p>
    <w:p w14:paraId="40A76BAC" w14:textId="77777777" w:rsidR="00FD38F8" w:rsidRPr="00FD38F8" w:rsidRDefault="00FD38F8" w:rsidP="00FD38F8">
      <w:pPr>
        <w:numPr>
          <w:ilvl w:val="0"/>
          <w:numId w:val="8"/>
        </w:numPr>
      </w:pPr>
      <w:r w:rsidRPr="00FD38F8">
        <w:rPr>
          <w:b/>
          <w:bCs/>
        </w:rPr>
        <w:t>Robustness and Generalization Testing:</w:t>
      </w:r>
      <w:r w:rsidRPr="00FD38F8">
        <w:t xml:space="preserve"> A crucial final step is to validate the model's performance stability across different market regimes (Section VI) and various asset classes, leveraging the ATR normalization to prove its generalization capability beyond the specific data used for training. This testing validates the quantitative transformation of SMC from a visual heuristic into a production-ready, predictive framework.</w:t>
      </w:r>
    </w:p>
    <w:p w14:paraId="3DB26720" w14:textId="77777777" w:rsidR="003A4514" w:rsidRDefault="003A4514"/>
    <w:sectPr w:rsidR="003A45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05380E"/>
    <w:multiLevelType w:val="multilevel"/>
    <w:tmpl w:val="56DA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35DBF"/>
    <w:multiLevelType w:val="multilevel"/>
    <w:tmpl w:val="89A28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E412B3"/>
    <w:multiLevelType w:val="multilevel"/>
    <w:tmpl w:val="030C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5956C5"/>
    <w:multiLevelType w:val="multilevel"/>
    <w:tmpl w:val="32E26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EC75A3"/>
    <w:multiLevelType w:val="multilevel"/>
    <w:tmpl w:val="789A1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772DF1"/>
    <w:multiLevelType w:val="multilevel"/>
    <w:tmpl w:val="796C8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542CB1"/>
    <w:multiLevelType w:val="multilevel"/>
    <w:tmpl w:val="95CE7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B16EAC"/>
    <w:multiLevelType w:val="multilevel"/>
    <w:tmpl w:val="FDFA0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4698169">
    <w:abstractNumId w:val="5"/>
  </w:num>
  <w:num w:numId="2" w16cid:durableId="1536235695">
    <w:abstractNumId w:val="7"/>
  </w:num>
  <w:num w:numId="3" w16cid:durableId="76708270">
    <w:abstractNumId w:val="0"/>
  </w:num>
  <w:num w:numId="4" w16cid:durableId="690031209">
    <w:abstractNumId w:val="6"/>
  </w:num>
  <w:num w:numId="5" w16cid:durableId="873663216">
    <w:abstractNumId w:val="2"/>
  </w:num>
  <w:num w:numId="6" w16cid:durableId="1146555012">
    <w:abstractNumId w:val="4"/>
  </w:num>
  <w:num w:numId="7" w16cid:durableId="1791632747">
    <w:abstractNumId w:val="3"/>
  </w:num>
  <w:num w:numId="8" w16cid:durableId="503395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8F8"/>
    <w:rsid w:val="000F7A5A"/>
    <w:rsid w:val="00246FBC"/>
    <w:rsid w:val="00362BD9"/>
    <w:rsid w:val="003A4514"/>
    <w:rsid w:val="0057708C"/>
    <w:rsid w:val="00C702A3"/>
    <w:rsid w:val="00EF4D82"/>
    <w:rsid w:val="00FD3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76DED6"/>
  <w15:chartTrackingRefBased/>
  <w15:docId w15:val="{72E5DA50-3470-4B7B-B7FC-B49F90DB0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8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38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38F8"/>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38F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D38F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D38F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D38F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D38F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D38F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8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38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38F8"/>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38F8"/>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D38F8"/>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D38F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D38F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D38F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D38F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D38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8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8F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8F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D38F8"/>
    <w:pPr>
      <w:spacing w:before="160"/>
      <w:jc w:val="center"/>
    </w:pPr>
    <w:rPr>
      <w:i/>
      <w:iCs/>
      <w:color w:val="404040" w:themeColor="text1" w:themeTint="BF"/>
    </w:rPr>
  </w:style>
  <w:style w:type="character" w:customStyle="1" w:styleId="QuoteChar">
    <w:name w:val="Quote Char"/>
    <w:basedOn w:val="DefaultParagraphFont"/>
    <w:link w:val="Quote"/>
    <w:uiPriority w:val="29"/>
    <w:rsid w:val="00FD38F8"/>
    <w:rPr>
      <w:i/>
      <w:iCs/>
      <w:color w:val="404040" w:themeColor="text1" w:themeTint="BF"/>
    </w:rPr>
  </w:style>
  <w:style w:type="paragraph" w:styleId="ListParagraph">
    <w:name w:val="List Paragraph"/>
    <w:basedOn w:val="Normal"/>
    <w:uiPriority w:val="34"/>
    <w:qFormat/>
    <w:rsid w:val="00FD38F8"/>
    <w:pPr>
      <w:ind w:left="720"/>
      <w:contextualSpacing/>
    </w:pPr>
  </w:style>
  <w:style w:type="character" w:styleId="IntenseEmphasis">
    <w:name w:val="Intense Emphasis"/>
    <w:basedOn w:val="DefaultParagraphFont"/>
    <w:uiPriority w:val="21"/>
    <w:qFormat/>
    <w:rsid w:val="00FD38F8"/>
    <w:rPr>
      <w:i/>
      <w:iCs/>
      <w:color w:val="2F5496" w:themeColor="accent1" w:themeShade="BF"/>
    </w:rPr>
  </w:style>
  <w:style w:type="paragraph" w:styleId="IntenseQuote">
    <w:name w:val="Intense Quote"/>
    <w:basedOn w:val="Normal"/>
    <w:next w:val="Normal"/>
    <w:link w:val="IntenseQuoteChar"/>
    <w:uiPriority w:val="30"/>
    <w:qFormat/>
    <w:rsid w:val="00FD38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38F8"/>
    <w:rPr>
      <w:i/>
      <w:iCs/>
      <w:color w:val="2F5496" w:themeColor="accent1" w:themeShade="BF"/>
    </w:rPr>
  </w:style>
  <w:style w:type="character" w:styleId="IntenseReference">
    <w:name w:val="Intense Reference"/>
    <w:basedOn w:val="DefaultParagraphFont"/>
    <w:uiPriority w:val="32"/>
    <w:qFormat/>
    <w:rsid w:val="00FD38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3401</Words>
  <Characters>20954</Characters>
  <Application>Microsoft Office Word</Application>
  <DocSecurity>0</DocSecurity>
  <Lines>419</Lines>
  <Paragraphs>179</Paragraphs>
  <ScaleCrop>false</ScaleCrop>
  <Company/>
  <LinksUpToDate>false</LinksUpToDate>
  <CharactersWithSpaces>24176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 Waithaka</dc:creator>
  <cp:keywords/>
  <dc:description/>
  <cp:lastModifiedBy>Morris Waithaka</cp:lastModifiedBy>
  <cp:revision>1</cp:revision>
  <dcterms:created xsi:type="dcterms:W3CDTF">2025-10-07T11:48:00Z</dcterms:created>
  <dcterms:modified xsi:type="dcterms:W3CDTF">2025-10-07T11:50:00Z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7ecc97d0-1994-40a7-9d71-30792bc0ad9d</vt:lpwstr>
  </property>
</Properties>
</file>