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B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935E74" w:rsidRPr="00935E74" w:rsidTr="00935E74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Nombre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proofErr w:type="spellStart"/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Angela</w:t>
            </w:r>
            <w:proofErr w:type="spellEnd"/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 Roxana </w:t>
            </w:r>
            <w:proofErr w:type="spellStart"/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Maita</w:t>
            </w:r>
            <w:proofErr w:type="spellEnd"/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 Quinteros</w:t>
            </w:r>
          </w:p>
        </w:tc>
      </w:tr>
      <w:tr w:rsidR="00935E74" w:rsidRPr="00935E74" w:rsidTr="00935E7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 </w:t>
            </w:r>
          </w:p>
        </w:tc>
      </w:tr>
      <w:tr w:rsidR="00935E74" w:rsidRPr="00935E74" w:rsidTr="00935E7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14713886-5</w:t>
            </w:r>
          </w:p>
        </w:tc>
      </w:tr>
      <w:tr w:rsidR="00935E74" w:rsidRPr="00935E74" w:rsidTr="00935E7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Fecha </w:t>
            </w:r>
            <w:proofErr w:type="spellStart"/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Nac</w:t>
            </w:r>
            <w:proofErr w:type="spellEnd"/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16-12-1969</w:t>
            </w:r>
          </w:p>
        </w:tc>
      </w:tr>
      <w:tr w:rsidR="00935E74" w:rsidRPr="00935E74" w:rsidTr="00935E74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b/>
                <w:bCs/>
                <w:lang w:val="es-MX" w:eastAsia="es-CL"/>
              </w:rPr>
              <w:t>20-12-2023</w:t>
            </w:r>
          </w:p>
        </w:tc>
      </w:tr>
    </w:tbl>
    <w:p w:rsidR="00935E74" w:rsidRPr="00935E74" w:rsidRDefault="00935E74" w:rsidP="00935E7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35E74" w:rsidRPr="00935E74" w:rsidRDefault="00935E74" w:rsidP="00935E7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35E74" w:rsidRPr="00935E74" w:rsidRDefault="00935E74" w:rsidP="00935E7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b/>
          <w:bCs/>
          <w:color w:val="000000"/>
          <w:lang w:val="es-MX" w:eastAsia="es-CL"/>
        </w:rPr>
        <w:t>Mamografía Digital Bilateral y magnificaciones bilaterales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Antecedentes de CA de mama izquierda. Estudio previo e instalación de marcadores pre quimioterapia </w:t>
      </w:r>
      <w:proofErr w:type="spellStart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neoadyuvante</w:t>
      </w:r>
      <w:proofErr w:type="spellEnd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Ambas mamas son heterogéneamente densas.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Comprometiendo el cuadrante súpero externo, región </w:t>
      </w:r>
      <w:proofErr w:type="spellStart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retroareolar</w:t>
      </w:r>
      <w:proofErr w:type="spellEnd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y unión de cuadrantes inferiores de mama izquierda se observan extensas microcalcificaciones </w:t>
      </w:r>
      <w:proofErr w:type="spellStart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pleomórficas</w:t>
      </w:r>
      <w:proofErr w:type="spellEnd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, que ocupan una extensión de aproximadamente 60 x 73 x 70 mm de diámetro transverso, anteroposterior y longitudinal.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En mama derecha se observa algunas microcalcificaciones que se estudian con magnificaciones, destacando un grupo de microcalcificaciones tenues finas </w:t>
      </w:r>
      <w:proofErr w:type="spellStart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pleomórficas</w:t>
      </w:r>
      <w:proofErr w:type="spellEnd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, localizadas en unión de cuadrantes superiores, tercio medio, que ocupan una extensión de 3 </w:t>
      </w:r>
      <w:proofErr w:type="spellStart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Se visualizan algunas otras microcalcificaciones dispersas en mama derecha.</w:t>
      </w: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</w:r>
      <w:proofErr w:type="spellStart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Linfonodos</w:t>
      </w:r>
      <w:proofErr w:type="spellEnd"/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axilares de morfología conservada.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 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Impresión:</w:t>
      </w: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Mamas densas, lo que disminuye la sensibilidad de la mamografía.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Extensas microcalcificaciones altamente sospechosas en mama izquierda, en concordancia con el cáncer conocido.</w:t>
      </w: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Microcalcificaciones derechas de aspecto sospechoso, que es necesario estudiar histológicamente.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Sugiero además complementar estudio con resonancia magnética.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Se conversa con médico tratante y se decide suspender instalación de marcadores y continuar con exámenes recomendados.</w:t>
      </w:r>
    </w:p>
    <w:p w:rsidR="00935E74" w:rsidRPr="00935E74" w:rsidRDefault="00935E74" w:rsidP="00935E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BIRADS 6</w:t>
      </w:r>
    </w:p>
    <w:p w:rsidR="00935E74" w:rsidRPr="00935E74" w:rsidRDefault="00935E74" w:rsidP="00935E7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35E74" w:rsidRPr="00935E74" w:rsidRDefault="00935E74" w:rsidP="00935E7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935E74" w:rsidRPr="00935E74" w:rsidTr="00935E7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935E74" w:rsidRPr="00935E74" w:rsidTr="00935E7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935E74" w:rsidRPr="00935E74" w:rsidTr="00935E7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Dra.Teresa Fanny Taub Estrada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935E74" w:rsidRPr="00935E74" w:rsidTr="00935E74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35E74" w:rsidRPr="00935E74" w:rsidRDefault="00935E74" w:rsidP="00935E74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35E74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935E74" w:rsidRPr="00935E74" w:rsidRDefault="00935E74" w:rsidP="00935E7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35E74" w:rsidRPr="00935E74" w:rsidRDefault="00935E74" w:rsidP="00935E74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35E74">
        <w:rPr>
          <w:rFonts w:ascii="Arial" w:eastAsia="Times New Roman" w:hAnsi="Arial" w:cs="Arial"/>
          <w:color w:val="000000"/>
          <w:lang w:val="es-MX" w:eastAsia="es-CL"/>
        </w:rPr>
        <w:t xml:space="preserve">Informe Validado / </w:t>
      </w:r>
      <w:proofErr w:type="spellStart"/>
      <w:r w:rsidRPr="00935E74">
        <w:rPr>
          <w:rFonts w:ascii="Arial" w:eastAsia="Times New Roman" w:hAnsi="Arial" w:cs="Arial"/>
          <w:color w:val="000000"/>
          <w:lang w:val="es-MX" w:eastAsia="es-CL"/>
        </w:rPr>
        <w:t>ttaub@dd</w:t>
      </w:r>
      <w:proofErr w:type="spellEnd"/>
    </w:p>
    <w:p w:rsidR="008F6A3F" w:rsidRDefault="008F6A3F">
      <w:pPr>
        <w:rPr>
          <w:lang w:val="es-MX"/>
        </w:rPr>
      </w:pPr>
      <w:bookmarkStart w:id="0" w:name="_GoBack"/>
      <w:bookmarkEnd w:id="0"/>
    </w:p>
    <w:sectPr w:rsidR="008F6A3F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87281"/>
    <w:rsid w:val="000B62FA"/>
    <w:rsid w:val="000C2E9F"/>
    <w:rsid w:val="000F7748"/>
    <w:rsid w:val="00151D16"/>
    <w:rsid w:val="001D70F4"/>
    <w:rsid w:val="00204ED0"/>
    <w:rsid w:val="00231503"/>
    <w:rsid w:val="00250E1B"/>
    <w:rsid w:val="00260252"/>
    <w:rsid w:val="00295762"/>
    <w:rsid w:val="003934C3"/>
    <w:rsid w:val="003A4810"/>
    <w:rsid w:val="00423BF1"/>
    <w:rsid w:val="004A53A2"/>
    <w:rsid w:val="004C4592"/>
    <w:rsid w:val="004D1321"/>
    <w:rsid w:val="0050542C"/>
    <w:rsid w:val="005105EF"/>
    <w:rsid w:val="005D3FA6"/>
    <w:rsid w:val="005D3FB5"/>
    <w:rsid w:val="005E4EFD"/>
    <w:rsid w:val="005F1236"/>
    <w:rsid w:val="005F4A18"/>
    <w:rsid w:val="00634B0A"/>
    <w:rsid w:val="00662CFB"/>
    <w:rsid w:val="006E122B"/>
    <w:rsid w:val="006F1F8E"/>
    <w:rsid w:val="00791B80"/>
    <w:rsid w:val="00874134"/>
    <w:rsid w:val="00876829"/>
    <w:rsid w:val="0088099D"/>
    <w:rsid w:val="008F6A3F"/>
    <w:rsid w:val="00935E74"/>
    <w:rsid w:val="0095518B"/>
    <w:rsid w:val="0097055F"/>
    <w:rsid w:val="00A16C5A"/>
    <w:rsid w:val="00A83BD2"/>
    <w:rsid w:val="00B81686"/>
    <w:rsid w:val="00BD6FA8"/>
    <w:rsid w:val="00C22086"/>
    <w:rsid w:val="00D4231B"/>
    <w:rsid w:val="00D52EE7"/>
    <w:rsid w:val="00D71FF3"/>
    <w:rsid w:val="00DA5486"/>
    <w:rsid w:val="00DC3DF4"/>
    <w:rsid w:val="00DD12A1"/>
    <w:rsid w:val="00E561DC"/>
    <w:rsid w:val="00E64F37"/>
    <w:rsid w:val="00E67265"/>
    <w:rsid w:val="00E703F0"/>
    <w:rsid w:val="00ED6C37"/>
    <w:rsid w:val="00FA5C5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19</cp:revision>
  <cp:lastPrinted>2023-12-13T17:50:00Z</cp:lastPrinted>
  <dcterms:created xsi:type="dcterms:W3CDTF">2023-08-03T19:11:00Z</dcterms:created>
  <dcterms:modified xsi:type="dcterms:W3CDTF">2023-12-26T19:33:00Z</dcterms:modified>
</cp:coreProperties>
</file>